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882" w:type="dxa"/>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ayout w:type="fixed"/>
        <w:tblLook w:val="04A0" w:firstRow="1" w:lastRow="0" w:firstColumn="1" w:lastColumn="0" w:noHBand="0" w:noVBand="1"/>
      </w:tblPr>
      <w:tblGrid>
        <w:gridCol w:w="13882"/>
      </w:tblGrid>
      <w:tr w:rsidR="00BF5F37" w:rsidRPr="00842363" w:rsidTr="00442DAF">
        <w:trPr>
          <w:trHeight w:val="425"/>
        </w:trPr>
        <w:tc>
          <w:tcPr>
            <w:tcW w:w="13882" w:type="dxa"/>
            <w:hideMark/>
          </w:tcPr>
          <w:p w:rsidR="00BF5F37" w:rsidRDefault="00F8338F" w:rsidP="00835025">
            <w:pPr>
              <w:jc w:val="both"/>
              <w:rPr>
                <w:color w:val="7030A0"/>
              </w:rPr>
            </w:pPr>
            <w:r>
              <w:rPr>
                <w:b/>
                <w:color w:val="7030A0"/>
              </w:rPr>
              <w:t>Nursery Class</w:t>
            </w:r>
            <w:r w:rsidR="00BF5F37" w:rsidRPr="00842363">
              <w:rPr>
                <w:b/>
                <w:color w:val="7030A0"/>
              </w:rPr>
              <w:t xml:space="preserve"> Priority</w:t>
            </w:r>
            <w:r w:rsidR="006F50CC">
              <w:rPr>
                <w:b/>
                <w:color w:val="7030A0"/>
              </w:rPr>
              <w:t xml:space="preserve"> 2</w:t>
            </w:r>
            <w:r>
              <w:rPr>
                <w:b/>
                <w:color w:val="7030A0"/>
              </w:rPr>
              <w:t xml:space="preserve"> </w:t>
            </w:r>
            <w:r w:rsidR="00BF5F37" w:rsidRPr="00842363">
              <w:rPr>
                <w:b/>
                <w:color w:val="7030A0"/>
              </w:rPr>
              <w:t>:</w:t>
            </w:r>
            <w:r w:rsidR="00BF5F37" w:rsidRPr="00842363">
              <w:rPr>
                <w:color w:val="7030A0"/>
              </w:rPr>
              <w:t xml:space="preserve">  </w:t>
            </w:r>
          </w:p>
          <w:p w:rsidR="00BF5F37" w:rsidRDefault="00BF5F37" w:rsidP="00835025">
            <w:pPr>
              <w:jc w:val="both"/>
              <w:rPr>
                <w:color w:val="7030A0"/>
              </w:rPr>
            </w:pPr>
          </w:p>
          <w:p w:rsidR="00F8338F" w:rsidRDefault="00BF5F37" w:rsidP="006F50CC">
            <w:pPr>
              <w:jc w:val="both"/>
              <w:rPr>
                <w:rFonts w:eastAsia="Calibri"/>
                <w:sz w:val="20"/>
                <w:szCs w:val="20"/>
              </w:rPr>
            </w:pPr>
            <w:r>
              <w:rPr>
                <w:rFonts w:eastAsia="Calibri"/>
                <w:sz w:val="20"/>
                <w:szCs w:val="20"/>
              </w:rPr>
              <w:t xml:space="preserve">To </w:t>
            </w:r>
            <w:r w:rsidR="006F50CC">
              <w:rPr>
                <w:rFonts w:eastAsia="Calibri"/>
                <w:sz w:val="20"/>
                <w:szCs w:val="20"/>
              </w:rPr>
              <w:t>further develop and enhance numeracy in the nursery</w:t>
            </w:r>
          </w:p>
          <w:p w:rsidR="006F50CC" w:rsidRDefault="006F50CC" w:rsidP="006F50CC">
            <w:pPr>
              <w:jc w:val="both"/>
              <w:rPr>
                <w:rFonts w:eastAsia="Calibri"/>
                <w:sz w:val="20"/>
                <w:szCs w:val="20"/>
              </w:rPr>
            </w:pPr>
          </w:p>
          <w:p w:rsidR="006F50CC" w:rsidRPr="00D34020" w:rsidRDefault="006F50CC" w:rsidP="006F50CC">
            <w:pPr>
              <w:jc w:val="both"/>
            </w:pPr>
          </w:p>
        </w:tc>
      </w:tr>
    </w:tbl>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649"/>
        <w:gridCol w:w="4589"/>
      </w:tblGrid>
      <w:tr w:rsidR="00442DAF" w:rsidRPr="00AC51B0" w:rsidTr="00442DAF">
        <w:tc>
          <w:tcPr>
            <w:tcW w:w="4649" w:type="dxa"/>
            <w:shd w:val="clear" w:color="auto" w:fill="D9D9D9" w:themeFill="background1" w:themeFillShade="D9"/>
          </w:tcPr>
          <w:p w:rsidR="00442DAF" w:rsidRPr="00AC51B0" w:rsidRDefault="00442DAF" w:rsidP="009E59B3">
            <w:pPr>
              <w:jc w:val="center"/>
              <w:rPr>
                <w:rFonts w:eastAsia="Calibri"/>
                <w:b/>
                <w:sz w:val="12"/>
                <w:szCs w:val="12"/>
              </w:rPr>
            </w:pPr>
          </w:p>
          <w:p w:rsidR="00442DAF" w:rsidRPr="00AC51B0" w:rsidRDefault="00442DAF" w:rsidP="009E59B3">
            <w:pPr>
              <w:jc w:val="center"/>
              <w:rPr>
                <w:rFonts w:eastAsia="Calibri"/>
                <w:b/>
                <w:sz w:val="20"/>
                <w:szCs w:val="20"/>
              </w:rPr>
            </w:pPr>
            <w:r w:rsidRPr="00AC51B0">
              <w:rPr>
                <w:rFonts w:eastAsia="Calibri"/>
                <w:b/>
                <w:sz w:val="20"/>
                <w:szCs w:val="20"/>
              </w:rPr>
              <w:t>National Improvement Framework Priorities</w:t>
            </w:r>
          </w:p>
          <w:p w:rsidR="00442DAF" w:rsidRPr="00AC51B0" w:rsidRDefault="00442DAF" w:rsidP="009E59B3">
            <w:pPr>
              <w:jc w:val="center"/>
              <w:rPr>
                <w:rFonts w:eastAsia="Calibri"/>
                <w:b/>
                <w:sz w:val="12"/>
                <w:szCs w:val="12"/>
              </w:rPr>
            </w:pPr>
          </w:p>
        </w:tc>
        <w:tc>
          <w:tcPr>
            <w:tcW w:w="4649" w:type="dxa"/>
            <w:shd w:val="clear" w:color="auto" w:fill="D9D9D9" w:themeFill="background1" w:themeFillShade="D9"/>
          </w:tcPr>
          <w:p w:rsidR="00442DAF" w:rsidRPr="00AC51B0" w:rsidRDefault="00442DAF" w:rsidP="009E59B3">
            <w:pPr>
              <w:jc w:val="center"/>
              <w:rPr>
                <w:rFonts w:eastAsia="Calibri"/>
                <w:b/>
                <w:sz w:val="12"/>
                <w:szCs w:val="12"/>
              </w:rPr>
            </w:pPr>
          </w:p>
          <w:p w:rsidR="00442DAF" w:rsidRPr="00AC51B0" w:rsidRDefault="00442DAF" w:rsidP="009E59B3">
            <w:pPr>
              <w:jc w:val="center"/>
              <w:rPr>
                <w:rFonts w:eastAsia="Calibri"/>
                <w:b/>
                <w:sz w:val="20"/>
                <w:szCs w:val="20"/>
              </w:rPr>
            </w:pPr>
            <w:r w:rsidRPr="00AC51B0">
              <w:rPr>
                <w:rFonts w:eastAsia="Calibri"/>
                <w:b/>
                <w:sz w:val="20"/>
                <w:szCs w:val="20"/>
              </w:rPr>
              <w:t>HGIOS 4 &amp; HGIOELC Quality Indicators</w:t>
            </w:r>
          </w:p>
        </w:tc>
        <w:tc>
          <w:tcPr>
            <w:tcW w:w="4589" w:type="dxa"/>
            <w:shd w:val="clear" w:color="auto" w:fill="D9D9D9" w:themeFill="background1" w:themeFillShade="D9"/>
          </w:tcPr>
          <w:p w:rsidR="00442DAF" w:rsidRPr="00AC51B0" w:rsidRDefault="00442DAF" w:rsidP="009E59B3">
            <w:pPr>
              <w:jc w:val="center"/>
              <w:rPr>
                <w:rFonts w:eastAsia="Calibri"/>
                <w:b/>
                <w:sz w:val="12"/>
                <w:szCs w:val="12"/>
              </w:rPr>
            </w:pPr>
          </w:p>
          <w:p w:rsidR="00442DAF" w:rsidRPr="00AC51B0" w:rsidRDefault="00442DAF" w:rsidP="009E59B3">
            <w:pPr>
              <w:jc w:val="center"/>
              <w:rPr>
                <w:rFonts w:eastAsia="Calibri"/>
                <w:b/>
                <w:sz w:val="20"/>
                <w:szCs w:val="20"/>
              </w:rPr>
            </w:pPr>
            <w:r w:rsidRPr="00AC51B0">
              <w:rPr>
                <w:rFonts w:eastAsia="Calibri"/>
                <w:b/>
                <w:sz w:val="20"/>
                <w:szCs w:val="20"/>
              </w:rPr>
              <w:t>Integrated Children’s Services Plan Outcomes</w:t>
            </w:r>
          </w:p>
        </w:tc>
      </w:tr>
      <w:tr w:rsidR="00442DAF" w:rsidRPr="00AC51B0" w:rsidTr="00442DAF">
        <w:tc>
          <w:tcPr>
            <w:tcW w:w="4649" w:type="dxa"/>
            <w:shd w:val="clear" w:color="auto" w:fill="auto"/>
          </w:tcPr>
          <w:p w:rsidR="00442DAF" w:rsidRPr="00AC51B0" w:rsidRDefault="00442DAF" w:rsidP="009E59B3">
            <w:pPr>
              <w:rPr>
                <w:rFonts w:eastAsia="Calibri"/>
                <w:sz w:val="4"/>
                <w:szCs w:val="4"/>
              </w:rPr>
            </w:pPr>
          </w:p>
          <w:p w:rsidR="00442DAF" w:rsidRPr="00557C9E" w:rsidRDefault="00442DAF" w:rsidP="009E59B3">
            <w:pPr>
              <w:pStyle w:val="ListParagraph"/>
              <w:numPr>
                <w:ilvl w:val="0"/>
                <w:numId w:val="1"/>
              </w:numPr>
              <w:spacing w:after="0" w:line="240" w:lineRule="auto"/>
              <w:rPr>
                <w:rFonts w:ascii="Arial" w:hAnsi="Arial" w:cs="Arial"/>
                <w:sz w:val="20"/>
                <w:szCs w:val="20"/>
                <w:highlight w:val="yellow"/>
              </w:rPr>
            </w:pPr>
            <w:r w:rsidRPr="00557C9E">
              <w:rPr>
                <w:rFonts w:ascii="Arial" w:hAnsi="Arial" w:cs="Arial"/>
                <w:sz w:val="20"/>
                <w:szCs w:val="20"/>
                <w:highlight w:val="yellow"/>
              </w:rPr>
              <w:t>Improvement in attainment, particularly in literacy and numeracy.</w:t>
            </w:r>
          </w:p>
          <w:p w:rsidR="00442DAF" w:rsidRPr="00557C9E" w:rsidRDefault="00442DAF" w:rsidP="009E59B3">
            <w:pPr>
              <w:pStyle w:val="ListParagraph"/>
              <w:numPr>
                <w:ilvl w:val="0"/>
                <w:numId w:val="1"/>
              </w:numPr>
              <w:spacing w:after="0" w:line="240" w:lineRule="auto"/>
              <w:rPr>
                <w:rFonts w:ascii="Arial" w:hAnsi="Arial" w:cs="Arial"/>
                <w:sz w:val="20"/>
                <w:szCs w:val="20"/>
                <w:highlight w:val="yellow"/>
              </w:rPr>
            </w:pPr>
            <w:r w:rsidRPr="00557C9E">
              <w:rPr>
                <w:rFonts w:ascii="Arial" w:hAnsi="Arial" w:cs="Arial"/>
                <w:sz w:val="20"/>
                <w:szCs w:val="20"/>
                <w:highlight w:val="yellow"/>
              </w:rPr>
              <w:t>Closing the attainment gap between the most and least disadvantaged children.</w:t>
            </w:r>
          </w:p>
          <w:p w:rsidR="00442DAF" w:rsidRPr="00AC51B0" w:rsidRDefault="00442DAF" w:rsidP="009E59B3">
            <w:pPr>
              <w:pStyle w:val="ListParagraph"/>
              <w:numPr>
                <w:ilvl w:val="0"/>
                <w:numId w:val="1"/>
              </w:numPr>
              <w:spacing w:after="0" w:line="240" w:lineRule="auto"/>
              <w:rPr>
                <w:rFonts w:ascii="Arial" w:hAnsi="Arial" w:cs="Arial"/>
                <w:sz w:val="20"/>
                <w:szCs w:val="20"/>
              </w:rPr>
            </w:pPr>
            <w:r w:rsidRPr="00AC51B0">
              <w:rPr>
                <w:rFonts w:ascii="Arial" w:hAnsi="Arial" w:cs="Arial"/>
                <w:sz w:val="20"/>
                <w:szCs w:val="20"/>
              </w:rPr>
              <w:t>Improvement in children and young people’s health and wellbeing.</w:t>
            </w:r>
          </w:p>
          <w:p w:rsidR="00442DAF" w:rsidRPr="00AC51B0" w:rsidRDefault="00442DAF" w:rsidP="009E59B3">
            <w:pPr>
              <w:pStyle w:val="ListParagraph"/>
              <w:numPr>
                <w:ilvl w:val="0"/>
                <w:numId w:val="1"/>
              </w:numPr>
              <w:spacing w:after="0" w:line="240" w:lineRule="auto"/>
              <w:rPr>
                <w:rFonts w:ascii="Arial" w:hAnsi="Arial" w:cs="Arial"/>
                <w:sz w:val="20"/>
                <w:szCs w:val="20"/>
              </w:rPr>
            </w:pPr>
            <w:r w:rsidRPr="00AC51B0">
              <w:rPr>
                <w:rFonts w:ascii="Arial" w:hAnsi="Arial" w:cs="Arial"/>
                <w:sz w:val="20"/>
                <w:szCs w:val="20"/>
              </w:rPr>
              <w:t>Improvement in employability skills and sustained, positive destinations.</w:t>
            </w:r>
          </w:p>
          <w:p w:rsidR="00442DAF" w:rsidRPr="00AC51B0" w:rsidRDefault="00442DAF" w:rsidP="009E59B3">
            <w:pPr>
              <w:rPr>
                <w:rFonts w:eastAsia="Calibri"/>
                <w:sz w:val="20"/>
                <w:szCs w:val="20"/>
              </w:rPr>
            </w:pPr>
          </w:p>
          <w:p w:rsidR="00442DAF" w:rsidRPr="00AC51B0" w:rsidRDefault="00442DAF" w:rsidP="009E59B3">
            <w:pPr>
              <w:rPr>
                <w:rFonts w:eastAsia="Calibri"/>
                <w:sz w:val="20"/>
                <w:szCs w:val="20"/>
              </w:rPr>
            </w:pPr>
            <w:r w:rsidRPr="00AC51B0">
              <w:rPr>
                <w:rFonts w:eastAsia="Calibri"/>
                <w:sz w:val="20"/>
                <w:szCs w:val="20"/>
              </w:rPr>
              <w:t>Key drivers of improvement</w:t>
            </w:r>
          </w:p>
          <w:p w:rsidR="00442DAF" w:rsidRPr="00AC51B0" w:rsidRDefault="00442DAF" w:rsidP="009E59B3">
            <w:pPr>
              <w:pStyle w:val="ListParagraph"/>
              <w:numPr>
                <w:ilvl w:val="0"/>
                <w:numId w:val="1"/>
              </w:numPr>
              <w:spacing w:after="0" w:line="240" w:lineRule="auto"/>
              <w:rPr>
                <w:rFonts w:ascii="Arial" w:hAnsi="Arial" w:cs="Arial"/>
                <w:sz w:val="20"/>
                <w:szCs w:val="20"/>
              </w:rPr>
            </w:pPr>
            <w:r w:rsidRPr="00AC51B0">
              <w:rPr>
                <w:rFonts w:ascii="Arial" w:hAnsi="Arial" w:cs="Arial"/>
                <w:sz w:val="20"/>
                <w:szCs w:val="20"/>
              </w:rPr>
              <w:t>School leadership</w:t>
            </w:r>
          </w:p>
          <w:p w:rsidR="00442DAF" w:rsidRPr="00AC51B0" w:rsidRDefault="00442DAF" w:rsidP="009E59B3">
            <w:pPr>
              <w:pStyle w:val="ListParagraph"/>
              <w:numPr>
                <w:ilvl w:val="0"/>
                <w:numId w:val="1"/>
              </w:numPr>
              <w:spacing w:after="0" w:line="240" w:lineRule="auto"/>
              <w:rPr>
                <w:rFonts w:ascii="Arial" w:hAnsi="Arial" w:cs="Arial"/>
                <w:sz w:val="20"/>
                <w:szCs w:val="20"/>
              </w:rPr>
            </w:pPr>
            <w:r w:rsidRPr="00AC51B0">
              <w:rPr>
                <w:rFonts w:ascii="Arial" w:hAnsi="Arial" w:cs="Arial"/>
                <w:sz w:val="20"/>
                <w:szCs w:val="20"/>
              </w:rPr>
              <w:t>Teacher professionalism</w:t>
            </w:r>
          </w:p>
          <w:p w:rsidR="00442DAF" w:rsidRPr="00AC51B0" w:rsidRDefault="00442DAF" w:rsidP="009E59B3">
            <w:pPr>
              <w:pStyle w:val="ListParagraph"/>
              <w:numPr>
                <w:ilvl w:val="0"/>
                <w:numId w:val="1"/>
              </w:numPr>
              <w:spacing w:after="0" w:line="240" w:lineRule="auto"/>
              <w:rPr>
                <w:rFonts w:ascii="Arial" w:hAnsi="Arial" w:cs="Arial"/>
                <w:sz w:val="20"/>
                <w:szCs w:val="20"/>
              </w:rPr>
            </w:pPr>
            <w:r w:rsidRPr="00AC51B0">
              <w:rPr>
                <w:rFonts w:ascii="Arial" w:hAnsi="Arial" w:cs="Arial"/>
                <w:sz w:val="20"/>
                <w:szCs w:val="20"/>
              </w:rPr>
              <w:t>Parental engagement</w:t>
            </w:r>
          </w:p>
          <w:p w:rsidR="00442DAF" w:rsidRPr="00AC51B0" w:rsidRDefault="00442DAF" w:rsidP="009E59B3">
            <w:pPr>
              <w:pStyle w:val="ListParagraph"/>
              <w:numPr>
                <w:ilvl w:val="0"/>
                <w:numId w:val="1"/>
              </w:numPr>
              <w:spacing w:after="0" w:line="240" w:lineRule="auto"/>
              <w:rPr>
                <w:rFonts w:ascii="Arial" w:hAnsi="Arial" w:cs="Arial"/>
                <w:sz w:val="20"/>
                <w:szCs w:val="20"/>
              </w:rPr>
            </w:pPr>
            <w:r w:rsidRPr="00AC51B0">
              <w:rPr>
                <w:rFonts w:ascii="Arial" w:hAnsi="Arial" w:cs="Arial"/>
                <w:sz w:val="20"/>
                <w:szCs w:val="20"/>
              </w:rPr>
              <w:t>Assessment of children’s progress</w:t>
            </w:r>
          </w:p>
          <w:p w:rsidR="00442DAF" w:rsidRPr="00AC51B0" w:rsidRDefault="00442DAF" w:rsidP="009E59B3">
            <w:pPr>
              <w:pStyle w:val="ListParagraph"/>
              <w:numPr>
                <w:ilvl w:val="0"/>
                <w:numId w:val="1"/>
              </w:numPr>
              <w:spacing w:after="0" w:line="240" w:lineRule="auto"/>
              <w:rPr>
                <w:rFonts w:ascii="Arial" w:hAnsi="Arial" w:cs="Arial"/>
                <w:sz w:val="20"/>
                <w:szCs w:val="20"/>
              </w:rPr>
            </w:pPr>
            <w:r w:rsidRPr="00AC51B0">
              <w:rPr>
                <w:rFonts w:ascii="Arial" w:hAnsi="Arial" w:cs="Arial"/>
                <w:sz w:val="20"/>
                <w:szCs w:val="20"/>
              </w:rPr>
              <w:t>School improvement</w:t>
            </w:r>
          </w:p>
          <w:p w:rsidR="00442DAF" w:rsidRPr="00AC51B0" w:rsidRDefault="00442DAF" w:rsidP="009E59B3">
            <w:pPr>
              <w:pStyle w:val="ListParagraph"/>
              <w:numPr>
                <w:ilvl w:val="0"/>
                <w:numId w:val="1"/>
              </w:numPr>
              <w:spacing w:after="0" w:line="240" w:lineRule="auto"/>
              <w:rPr>
                <w:rFonts w:ascii="Arial" w:hAnsi="Arial" w:cs="Arial"/>
                <w:sz w:val="20"/>
                <w:szCs w:val="20"/>
              </w:rPr>
            </w:pPr>
            <w:r w:rsidRPr="00AC51B0">
              <w:rPr>
                <w:rFonts w:ascii="Arial" w:hAnsi="Arial" w:cs="Arial"/>
                <w:sz w:val="20"/>
                <w:szCs w:val="20"/>
              </w:rPr>
              <w:t>Performance information</w:t>
            </w:r>
          </w:p>
        </w:tc>
        <w:tc>
          <w:tcPr>
            <w:tcW w:w="4649" w:type="dxa"/>
            <w:shd w:val="clear" w:color="auto" w:fill="auto"/>
          </w:tcPr>
          <w:p w:rsidR="00442DAF" w:rsidRPr="00AC51B0" w:rsidRDefault="00442DAF" w:rsidP="009E59B3">
            <w:pPr>
              <w:rPr>
                <w:rFonts w:eastAsia="Calibri"/>
                <w:sz w:val="4"/>
                <w:szCs w:val="4"/>
              </w:rPr>
            </w:pPr>
          </w:p>
          <w:p w:rsidR="00442DAF" w:rsidRPr="00AC51B0" w:rsidRDefault="00442DAF" w:rsidP="009E59B3">
            <w:pPr>
              <w:rPr>
                <w:rFonts w:eastAsia="Calibri"/>
                <w:sz w:val="16"/>
                <w:szCs w:val="16"/>
              </w:rPr>
            </w:pPr>
            <w:r w:rsidRPr="00AC51B0">
              <w:rPr>
                <w:rFonts w:eastAsia="Calibri"/>
                <w:sz w:val="16"/>
                <w:szCs w:val="16"/>
              </w:rPr>
              <w:t>1.1 Self-evaluation for self-improvement</w:t>
            </w:r>
          </w:p>
          <w:p w:rsidR="00442DAF" w:rsidRPr="00AC51B0" w:rsidRDefault="00442DAF" w:rsidP="009E59B3">
            <w:pPr>
              <w:rPr>
                <w:rFonts w:eastAsia="Calibri"/>
                <w:sz w:val="16"/>
                <w:szCs w:val="16"/>
              </w:rPr>
            </w:pPr>
            <w:r w:rsidRPr="00AC51B0">
              <w:rPr>
                <w:rFonts w:eastAsia="Calibri"/>
                <w:sz w:val="16"/>
                <w:szCs w:val="16"/>
              </w:rPr>
              <w:t>1.2 Leadership for learning</w:t>
            </w:r>
          </w:p>
          <w:p w:rsidR="00442DAF" w:rsidRPr="00AC51B0" w:rsidRDefault="00442DAF" w:rsidP="009E59B3">
            <w:pPr>
              <w:rPr>
                <w:rFonts w:eastAsia="Calibri"/>
                <w:sz w:val="16"/>
                <w:szCs w:val="16"/>
              </w:rPr>
            </w:pPr>
            <w:r w:rsidRPr="00AC51B0">
              <w:rPr>
                <w:rFonts w:eastAsia="Calibri"/>
                <w:sz w:val="16"/>
                <w:szCs w:val="16"/>
              </w:rPr>
              <w:t>1.3 Leadership of change</w:t>
            </w:r>
          </w:p>
          <w:p w:rsidR="00442DAF" w:rsidRPr="00AC51B0" w:rsidRDefault="00442DAF" w:rsidP="009E59B3">
            <w:pPr>
              <w:rPr>
                <w:rFonts w:eastAsia="Calibri"/>
                <w:sz w:val="16"/>
                <w:szCs w:val="16"/>
              </w:rPr>
            </w:pPr>
            <w:r w:rsidRPr="00AC51B0">
              <w:rPr>
                <w:rFonts w:eastAsia="Calibri"/>
                <w:sz w:val="16"/>
                <w:szCs w:val="16"/>
              </w:rPr>
              <w:t>1.4 Leadership and management of staff/ practitioners</w:t>
            </w:r>
          </w:p>
          <w:p w:rsidR="00442DAF" w:rsidRPr="00AC51B0" w:rsidRDefault="00442DAF" w:rsidP="009E59B3">
            <w:pPr>
              <w:rPr>
                <w:rFonts w:eastAsia="Calibri"/>
                <w:sz w:val="16"/>
                <w:szCs w:val="16"/>
              </w:rPr>
            </w:pPr>
            <w:r w:rsidRPr="00AC51B0">
              <w:rPr>
                <w:rFonts w:eastAsia="Calibri"/>
                <w:sz w:val="16"/>
                <w:szCs w:val="16"/>
              </w:rPr>
              <w:t>1.5 Management of resources to promote equity</w:t>
            </w:r>
          </w:p>
          <w:p w:rsidR="00442DAF" w:rsidRPr="00AC51B0" w:rsidRDefault="00442DAF" w:rsidP="009E59B3">
            <w:pPr>
              <w:rPr>
                <w:rFonts w:eastAsia="Calibri"/>
                <w:sz w:val="16"/>
                <w:szCs w:val="16"/>
              </w:rPr>
            </w:pPr>
            <w:r w:rsidRPr="00AC51B0">
              <w:rPr>
                <w:rFonts w:eastAsia="Calibri"/>
                <w:sz w:val="16"/>
                <w:szCs w:val="16"/>
              </w:rPr>
              <w:t>2.1 Safeguarding and child protection</w:t>
            </w:r>
          </w:p>
          <w:p w:rsidR="00442DAF" w:rsidRPr="00AC51B0" w:rsidRDefault="00442DAF" w:rsidP="009E59B3">
            <w:pPr>
              <w:rPr>
                <w:rFonts w:eastAsia="Calibri"/>
                <w:sz w:val="16"/>
                <w:szCs w:val="16"/>
              </w:rPr>
            </w:pPr>
            <w:r w:rsidRPr="00AC51B0">
              <w:rPr>
                <w:rFonts w:eastAsia="Calibri"/>
                <w:sz w:val="16"/>
                <w:szCs w:val="16"/>
              </w:rPr>
              <w:t>2.2 Curriculum</w:t>
            </w:r>
          </w:p>
          <w:p w:rsidR="00442DAF" w:rsidRPr="00AC51B0" w:rsidRDefault="00442DAF" w:rsidP="009E59B3">
            <w:pPr>
              <w:rPr>
                <w:rFonts w:eastAsia="Calibri"/>
                <w:sz w:val="16"/>
                <w:szCs w:val="16"/>
              </w:rPr>
            </w:pPr>
            <w:r w:rsidRPr="00AC51B0">
              <w:rPr>
                <w:rFonts w:eastAsia="Calibri"/>
                <w:sz w:val="16"/>
                <w:szCs w:val="16"/>
              </w:rPr>
              <w:t>2.3 Learning teaching and assessment</w:t>
            </w:r>
          </w:p>
          <w:p w:rsidR="00442DAF" w:rsidRPr="00AC51B0" w:rsidRDefault="00442DAF" w:rsidP="009E59B3">
            <w:pPr>
              <w:rPr>
                <w:rFonts w:eastAsia="Calibri"/>
                <w:sz w:val="16"/>
                <w:szCs w:val="16"/>
              </w:rPr>
            </w:pPr>
            <w:r w:rsidRPr="00AC51B0">
              <w:rPr>
                <w:rFonts w:eastAsia="Calibri"/>
                <w:sz w:val="16"/>
                <w:szCs w:val="16"/>
              </w:rPr>
              <w:t>2.4 Personalised support</w:t>
            </w:r>
          </w:p>
          <w:p w:rsidR="00442DAF" w:rsidRPr="00AC51B0" w:rsidRDefault="00442DAF" w:rsidP="009E59B3">
            <w:pPr>
              <w:rPr>
                <w:rFonts w:eastAsia="Calibri"/>
                <w:sz w:val="16"/>
                <w:szCs w:val="16"/>
              </w:rPr>
            </w:pPr>
            <w:r w:rsidRPr="00AC51B0">
              <w:rPr>
                <w:rFonts w:eastAsia="Calibri"/>
                <w:sz w:val="16"/>
                <w:szCs w:val="16"/>
              </w:rPr>
              <w:t>2.5 Family learning</w:t>
            </w:r>
          </w:p>
          <w:p w:rsidR="00442DAF" w:rsidRPr="00AC51B0" w:rsidRDefault="00442DAF" w:rsidP="009E59B3">
            <w:pPr>
              <w:rPr>
                <w:rFonts w:eastAsia="Calibri"/>
                <w:sz w:val="16"/>
                <w:szCs w:val="16"/>
              </w:rPr>
            </w:pPr>
            <w:r w:rsidRPr="00AC51B0">
              <w:rPr>
                <w:rFonts w:eastAsia="Calibri"/>
                <w:sz w:val="16"/>
                <w:szCs w:val="16"/>
              </w:rPr>
              <w:t>2.6 Transitions</w:t>
            </w:r>
          </w:p>
          <w:p w:rsidR="00442DAF" w:rsidRPr="00AC51B0" w:rsidRDefault="00442DAF" w:rsidP="009E59B3">
            <w:pPr>
              <w:rPr>
                <w:rFonts w:eastAsia="Calibri"/>
                <w:sz w:val="16"/>
                <w:szCs w:val="16"/>
              </w:rPr>
            </w:pPr>
            <w:r w:rsidRPr="00AC51B0">
              <w:rPr>
                <w:rFonts w:eastAsia="Calibri"/>
                <w:sz w:val="16"/>
                <w:szCs w:val="16"/>
              </w:rPr>
              <w:t>2.7 Partnerships</w:t>
            </w:r>
          </w:p>
          <w:p w:rsidR="00442DAF" w:rsidRPr="00AC51B0" w:rsidRDefault="00442DAF" w:rsidP="009E59B3">
            <w:pPr>
              <w:rPr>
                <w:rFonts w:eastAsia="Calibri"/>
                <w:sz w:val="16"/>
                <w:szCs w:val="16"/>
              </w:rPr>
            </w:pPr>
            <w:r w:rsidRPr="00AC51B0">
              <w:rPr>
                <w:rFonts w:eastAsia="Calibri"/>
                <w:sz w:val="16"/>
                <w:szCs w:val="16"/>
              </w:rPr>
              <w:t>3.1 Improving/ ensuring wellbeing, equality and inclusion</w:t>
            </w:r>
          </w:p>
          <w:p w:rsidR="00442DAF" w:rsidRPr="00AC51B0" w:rsidRDefault="00442DAF" w:rsidP="009E59B3">
            <w:pPr>
              <w:rPr>
                <w:rFonts w:eastAsia="Calibri"/>
                <w:b/>
                <w:sz w:val="16"/>
                <w:szCs w:val="16"/>
              </w:rPr>
            </w:pPr>
          </w:p>
          <w:p w:rsidR="00442DAF" w:rsidRPr="00A8450F" w:rsidRDefault="00442DAF" w:rsidP="009E59B3">
            <w:pPr>
              <w:rPr>
                <w:rFonts w:eastAsia="Calibri"/>
                <w:i/>
                <w:sz w:val="16"/>
                <w:szCs w:val="16"/>
              </w:rPr>
            </w:pPr>
            <w:r w:rsidRPr="00A8450F">
              <w:rPr>
                <w:rFonts w:eastAsia="Calibri"/>
                <w:i/>
                <w:sz w:val="16"/>
                <w:szCs w:val="16"/>
              </w:rPr>
              <w:t>Specific to HGIOS 4</w:t>
            </w:r>
          </w:p>
          <w:p w:rsidR="00442DAF" w:rsidRPr="00AC51B0" w:rsidRDefault="00442DAF" w:rsidP="009E59B3">
            <w:pPr>
              <w:rPr>
                <w:rFonts w:eastAsia="Calibri"/>
                <w:sz w:val="16"/>
                <w:szCs w:val="16"/>
              </w:rPr>
            </w:pPr>
            <w:r w:rsidRPr="00AC51B0">
              <w:rPr>
                <w:rFonts w:eastAsia="Calibri"/>
                <w:sz w:val="16"/>
                <w:szCs w:val="16"/>
              </w:rPr>
              <w:t>3.2 Raising attainment and achievement</w:t>
            </w:r>
          </w:p>
          <w:p w:rsidR="00442DAF" w:rsidRPr="00AC51B0" w:rsidRDefault="00442DAF" w:rsidP="009E59B3">
            <w:pPr>
              <w:rPr>
                <w:rFonts w:eastAsia="Calibri"/>
                <w:sz w:val="16"/>
                <w:szCs w:val="16"/>
              </w:rPr>
            </w:pPr>
            <w:r w:rsidRPr="00AC51B0">
              <w:rPr>
                <w:rFonts w:eastAsia="Calibri"/>
                <w:sz w:val="16"/>
                <w:szCs w:val="16"/>
              </w:rPr>
              <w:t>3.3 Increasing creativity and employability</w:t>
            </w:r>
          </w:p>
          <w:p w:rsidR="00442DAF" w:rsidRPr="00AC51B0" w:rsidRDefault="00442DAF" w:rsidP="009E59B3">
            <w:pPr>
              <w:rPr>
                <w:rFonts w:eastAsia="Calibri"/>
                <w:sz w:val="8"/>
                <w:szCs w:val="8"/>
              </w:rPr>
            </w:pPr>
          </w:p>
          <w:p w:rsidR="00442DAF" w:rsidRPr="00A8450F" w:rsidRDefault="00442DAF" w:rsidP="009E59B3">
            <w:pPr>
              <w:pStyle w:val="Default"/>
              <w:rPr>
                <w:i/>
                <w:sz w:val="16"/>
                <w:szCs w:val="16"/>
              </w:rPr>
            </w:pPr>
            <w:r w:rsidRPr="00A8450F">
              <w:rPr>
                <w:i/>
                <w:sz w:val="16"/>
                <w:szCs w:val="16"/>
              </w:rPr>
              <w:t>Specific to HGIOELC</w:t>
            </w:r>
          </w:p>
          <w:p w:rsidR="00442DAF" w:rsidRPr="00AC51B0" w:rsidRDefault="00442DAF" w:rsidP="009E59B3">
            <w:pPr>
              <w:pStyle w:val="Default"/>
              <w:rPr>
                <w:sz w:val="16"/>
                <w:szCs w:val="16"/>
              </w:rPr>
            </w:pPr>
            <w:r w:rsidRPr="00AC51B0">
              <w:rPr>
                <w:sz w:val="16"/>
                <w:szCs w:val="16"/>
              </w:rPr>
              <w:t xml:space="preserve">3.2 Securing children’s progress </w:t>
            </w:r>
          </w:p>
          <w:p w:rsidR="00442DAF" w:rsidRPr="00AC51B0" w:rsidRDefault="00442DAF" w:rsidP="009E59B3">
            <w:pPr>
              <w:rPr>
                <w:rFonts w:eastAsia="Calibri"/>
                <w:sz w:val="16"/>
                <w:szCs w:val="16"/>
              </w:rPr>
            </w:pPr>
            <w:r w:rsidRPr="00AC51B0">
              <w:rPr>
                <w:rFonts w:eastAsia="Calibri"/>
                <w:sz w:val="16"/>
                <w:szCs w:val="16"/>
              </w:rPr>
              <w:t>3.3 Developing creativity and skills for life and learning</w:t>
            </w:r>
          </w:p>
          <w:p w:rsidR="00442DAF" w:rsidRPr="00AC51B0" w:rsidRDefault="00442DAF" w:rsidP="009E59B3">
            <w:pPr>
              <w:rPr>
                <w:rFonts w:eastAsia="Calibri"/>
                <w:sz w:val="10"/>
                <w:szCs w:val="10"/>
              </w:rPr>
            </w:pPr>
          </w:p>
        </w:tc>
        <w:tc>
          <w:tcPr>
            <w:tcW w:w="4589" w:type="dxa"/>
            <w:shd w:val="clear" w:color="auto" w:fill="auto"/>
          </w:tcPr>
          <w:p w:rsidR="00442DAF" w:rsidRPr="00AC51B0" w:rsidRDefault="00442DAF" w:rsidP="009E59B3">
            <w:pPr>
              <w:pStyle w:val="ListParagraph"/>
              <w:ind w:left="360"/>
              <w:rPr>
                <w:rFonts w:ascii="Arial" w:hAnsi="Arial" w:cs="Arial"/>
                <w:sz w:val="4"/>
                <w:szCs w:val="4"/>
              </w:rPr>
            </w:pPr>
          </w:p>
          <w:p w:rsidR="00442DAF" w:rsidRPr="00557C9E" w:rsidRDefault="00442DAF" w:rsidP="009E59B3">
            <w:pPr>
              <w:pStyle w:val="ListParagraph"/>
              <w:numPr>
                <w:ilvl w:val="0"/>
                <w:numId w:val="2"/>
              </w:numPr>
              <w:spacing w:after="0" w:line="240" w:lineRule="auto"/>
              <w:rPr>
                <w:rFonts w:ascii="Arial" w:hAnsi="Arial" w:cs="Arial"/>
                <w:sz w:val="20"/>
                <w:szCs w:val="20"/>
                <w:highlight w:val="yellow"/>
              </w:rPr>
            </w:pPr>
            <w:r w:rsidRPr="00557C9E">
              <w:rPr>
                <w:rFonts w:ascii="Arial" w:hAnsi="Arial" w:cs="Arial"/>
                <w:sz w:val="20"/>
                <w:szCs w:val="20"/>
                <w:highlight w:val="yellow"/>
              </w:rPr>
              <w:t>All children reach appropriate development and social milestones through improved support in early years.</w:t>
            </w:r>
          </w:p>
          <w:p w:rsidR="00442DAF" w:rsidRPr="00AC51B0" w:rsidRDefault="00442DAF" w:rsidP="009E59B3">
            <w:pPr>
              <w:pStyle w:val="ListParagraph"/>
              <w:numPr>
                <w:ilvl w:val="0"/>
                <w:numId w:val="2"/>
              </w:numPr>
              <w:spacing w:after="0" w:line="240" w:lineRule="auto"/>
              <w:rPr>
                <w:rFonts w:ascii="Arial" w:hAnsi="Arial" w:cs="Arial"/>
                <w:sz w:val="20"/>
                <w:szCs w:val="20"/>
              </w:rPr>
            </w:pPr>
            <w:r w:rsidRPr="00AC51B0">
              <w:rPr>
                <w:rFonts w:ascii="Arial" w:hAnsi="Arial" w:cs="Arial"/>
                <w:sz w:val="20"/>
                <w:szCs w:val="20"/>
              </w:rPr>
              <w:t>Support for disadvantaged and vulnerable children, young people and families is improved.</w:t>
            </w:r>
          </w:p>
          <w:p w:rsidR="00442DAF" w:rsidRPr="00AC51B0" w:rsidRDefault="00442DAF" w:rsidP="009E59B3">
            <w:pPr>
              <w:pStyle w:val="ListParagraph"/>
              <w:numPr>
                <w:ilvl w:val="0"/>
                <w:numId w:val="2"/>
              </w:numPr>
              <w:spacing w:after="0" w:line="240" w:lineRule="auto"/>
              <w:rPr>
                <w:rFonts w:ascii="Arial" w:hAnsi="Arial" w:cs="Arial"/>
                <w:sz w:val="20"/>
                <w:szCs w:val="20"/>
              </w:rPr>
            </w:pPr>
            <w:r w:rsidRPr="00AC51B0">
              <w:rPr>
                <w:rFonts w:ascii="Arial" w:hAnsi="Arial" w:cs="Arial"/>
                <w:sz w:val="20"/>
                <w:szCs w:val="20"/>
              </w:rPr>
              <w:t>Health and wellbeing outcomes are improved for children and young people.</w:t>
            </w:r>
          </w:p>
          <w:p w:rsidR="00442DAF" w:rsidRPr="00AC51B0" w:rsidRDefault="00442DAF" w:rsidP="009E59B3">
            <w:pPr>
              <w:pStyle w:val="ListParagraph"/>
              <w:numPr>
                <w:ilvl w:val="0"/>
                <w:numId w:val="2"/>
              </w:numPr>
              <w:spacing w:after="0" w:line="240" w:lineRule="auto"/>
              <w:rPr>
                <w:rFonts w:ascii="Arial" w:hAnsi="Arial" w:cs="Arial"/>
                <w:sz w:val="20"/>
                <w:szCs w:val="20"/>
              </w:rPr>
            </w:pPr>
            <w:r w:rsidRPr="00557C9E">
              <w:rPr>
                <w:rFonts w:ascii="Arial" w:hAnsi="Arial" w:cs="Arial"/>
                <w:sz w:val="20"/>
                <w:szCs w:val="20"/>
                <w:highlight w:val="yellow"/>
              </w:rPr>
              <w:t>Raised attainment for all young people leading to positive destinations</w:t>
            </w:r>
            <w:r w:rsidRPr="00AC51B0">
              <w:rPr>
                <w:rFonts w:ascii="Arial" w:hAnsi="Arial" w:cs="Arial"/>
                <w:sz w:val="20"/>
                <w:szCs w:val="20"/>
              </w:rPr>
              <w:t>.</w:t>
            </w:r>
          </w:p>
          <w:p w:rsidR="00442DAF" w:rsidRPr="00AC51B0" w:rsidRDefault="00442DAF" w:rsidP="009E59B3">
            <w:pPr>
              <w:rPr>
                <w:rFonts w:eastAsia="Calibri"/>
                <w:sz w:val="20"/>
                <w:szCs w:val="20"/>
              </w:rPr>
            </w:pPr>
          </w:p>
        </w:tc>
      </w:tr>
    </w:tbl>
    <w:tbl>
      <w:tblPr>
        <w:tblStyle w:val="TableGrid"/>
        <w:tblW w:w="13882" w:type="dxa"/>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ayout w:type="fixed"/>
        <w:tblLook w:val="04A0" w:firstRow="1" w:lastRow="0" w:firstColumn="1" w:lastColumn="0" w:noHBand="0" w:noVBand="1"/>
      </w:tblPr>
      <w:tblGrid>
        <w:gridCol w:w="1550"/>
        <w:gridCol w:w="12332"/>
      </w:tblGrid>
      <w:tr w:rsidR="00BF5F37" w:rsidRPr="00842363" w:rsidTr="00442DAF">
        <w:tc>
          <w:tcPr>
            <w:tcW w:w="1550" w:type="dxa"/>
          </w:tcPr>
          <w:p w:rsidR="00BF5F37" w:rsidRPr="00842363" w:rsidRDefault="00BF5F37" w:rsidP="00835025">
            <w:pPr>
              <w:jc w:val="both"/>
              <w:rPr>
                <w:color w:val="7030A0"/>
              </w:rPr>
            </w:pPr>
            <w:r w:rsidRPr="00842363">
              <w:rPr>
                <w:color w:val="7030A0"/>
              </w:rPr>
              <w:t>Progress:</w:t>
            </w:r>
          </w:p>
        </w:tc>
        <w:tc>
          <w:tcPr>
            <w:tcW w:w="12332" w:type="dxa"/>
          </w:tcPr>
          <w:p w:rsidR="008A65BD" w:rsidRDefault="008A65BD" w:rsidP="00835025">
            <w:pPr>
              <w:jc w:val="both"/>
            </w:pPr>
          </w:p>
          <w:p w:rsidR="00EC3E73" w:rsidRDefault="00182C19" w:rsidP="00835025">
            <w:pPr>
              <w:jc w:val="both"/>
            </w:pPr>
            <w:r>
              <w:t>Developing t</w:t>
            </w:r>
            <w:r w:rsidR="00EC3E73">
              <w:t>he nursery priority No:</w:t>
            </w:r>
            <w:r w:rsidR="00933FA1">
              <w:t xml:space="preserve"> </w:t>
            </w:r>
            <w:r w:rsidR="00EC3E73">
              <w:t>2</w:t>
            </w:r>
            <w:r w:rsidR="002E559A">
              <w:t xml:space="preserve"> </w:t>
            </w:r>
            <w:r w:rsidR="00EC3E73">
              <w:t>has made the nursery team much more aware of how they promote children’s mathematical learning and development. Therefore there has been increased profess</w:t>
            </w:r>
            <w:r w:rsidR="00933FA1">
              <w:t xml:space="preserve">ional dialogue around this area, </w:t>
            </w:r>
            <w:r w:rsidR="002E559A">
              <w:t>which</w:t>
            </w:r>
            <w:r w:rsidR="00933FA1">
              <w:t xml:space="preserve"> has resulted in </w:t>
            </w:r>
            <w:r w:rsidR="003063ED">
              <w:t>a greater</w:t>
            </w:r>
            <w:r w:rsidR="002E559A">
              <w:t>,</w:t>
            </w:r>
            <w:r w:rsidR="00933FA1">
              <w:t xml:space="preserve"> more consistent </w:t>
            </w:r>
            <w:r w:rsidR="003063ED">
              <w:t xml:space="preserve">approach </w:t>
            </w:r>
            <w:r w:rsidR="002E559A">
              <w:t xml:space="preserve">by staff </w:t>
            </w:r>
            <w:r w:rsidR="00933FA1">
              <w:t xml:space="preserve">and </w:t>
            </w:r>
            <w:r w:rsidR="003063ED">
              <w:t xml:space="preserve">more </w:t>
            </w:r>
            <w:r w:rsidR="00933FA1">
              <w:t xml:space="preserve">meaningful experiences for all children. </w:t>
            </w:r>
          </w:p>
          <w:p w:rsidR="00933FA1" w:rsidRDefault="00933FA1" w:rsidP="00835025">
            <w:pPr>
              <w:jc w:val="both"/>
            </w:pPr>
            <w:r>
              <w:t>During the in-service training days in Nov/Feb all nursery staff attended training around numeracy. All staff found the content of the training very valuable and engaged in positive conversations about the ways in which they could embed the ideas in</w:t>
            </w:r>
            <w:r w:rsidR="00077348">
              <w:t>to</w:t>
            </w:r>
            <w:r>
              <w:t xml:space="preserve"> their nursery daily practise.</w:t>
            </w:r>
            <w:r w:rsidR="00CB7161">
              <w:t xml:space="preserve"> As a result of this numeracy is becoming a more focussed and consistent aspect of the daily planning for children’s learning and development. </w:t>
            </w:r>
          </w:p>
          <w:p w:rsidR="00BF5F37" w:rsidRDefault="00557C9E" w:rsidP="00835025">
            <w:pPr>
              <w:jc w:val="both"/>
            </w:pPr>
            <w:r>
              <w:t xml:space="preserve">Two members of staff took the lead to work with parents and create </w:t>
            </w:r>
            <w:r w:rsidR="00506334">
              <w:t xml:space="preserve">a selection of </w:t>
            </w:r>
            <w:r>
              <w:t>numeracy sacks</w:t>
            </w:r>
            <w:r w:rsidR="00506334">
              <w:t xml:space="preserve"> for children to take home and share with their family</w:t>
            </w:r>
            <w:r>
              <w:t xml:space="preserve">. Staff met with a group of parents to discuss the purpose of the sacks and what they might </w:t>
            </w:r>
            <w:r w:rsidR="002E559A">
              <w:t>contain</w:t>
            </w:r>
            <w:r>
              <w:t>.</w:t>
            </w:r>
            <w:r w:rsidR="00506334">
              <w:t xml:space="preserve"> </w:t>
            </w:r>
            <w:r w:rsidR="00506334">
              <w:lastRenderedPageBreak/>
              <w:t>As a result of this</w:t>
            </w:r>
            <w:r w:rsidR="003063ED">
              <w:t>,</w:t>
            </w:r>
            <w:r w:rsidR="00506334">
              <w:t xml:space="preserve"> the two members of staff have </w:t>
            </w:r>
            <w:r w:rsidR="003063ED">
              <w:t xml:space="preserve">again </w:t>
            </w:r>
            <w:r w:rsidR="00506334">
              <w:t xml:space="preserve">met with parents and </w:t>
            </w:r>
            <w:r w:rsidR="00CB7161">
              <w:t>are in the process of making up a variety of numeracy sacks for children to take home</w:t>
            </w:r>
            <w:r w:rsidR="002948EB">
              <w:t xml:space="preserve"> and share with their family</w:t>
            </w:r>
            <w:r w:rsidR="003063ED">
              <w:t>.</w:t>
            </w:r>
          </w:p>
          <w:p w:rsidR="00557C9E" w:rsidRDefault="00557C9E" w:rsidP="00835025">
            <w:pPr>
              <w:jc w:val="both"/>
            </w:pPr>
          </w:p>
          <w:p w:rsidR="00933FA1" w:rsidRDefault="00506334" w:rsidP="00835025">
            <w:pPr>
              <w:jc w:val="both"/>
            </w:pPr>
            <w:r>
              <w:t>A wide variety of outdoor numeracy r</w:t>
            </w:r>
            <w:r w:rsidR="008A65BD">
              <w:t>esources have been made</w:t>
            </w:r>
            <w:r>
              <w:t xml:space="preserve"> </w:t>
            </w:r>
            <w:r w:rsidR="00933FA1">
              <w:t xml:space="preserve">by staff </w:t>
            </w:r>
            <w:r>
              <w:t xml:space="preserve">to support the children’s numeracy development. </w:t>
            </w:r>
            <w:r w:rsidR="00EC3E73">
              <w:t>These include numbered roof slates and pebbles and a set of large scales</w:t>
            </w:r>
            <w:r w:rsidR="003063ED">
              <w:t>. A</w:t>
            </w:r>
            <w:r w:rsidR="00EC3E73">
              <w:t>s a result of this</w:t>
            </w:r>
            <w:r w:rsidR="003063ED">
              <w:t>,</w:t>
            </w:r>
            <w:r w:rsidR="00EC3E73">
              <w:t xml:space="preserve"> children have been participating in more </w:t>
            </w:r>
            <w:r w:rsidR="00933FA1">
              <w:t xml:space="preserve">hands on, </w:t>
            </w:r>
            <w:r w:rsidR="00EC3E73">
              <w:t xml:space="preserve">meaningful and purposeful numeracy experiences and activities. </w:t>
            </w:r>
          </w:p>
          <w:p w:rsidR="00933FA1" w:rsidRDefault="00933FA1" w:rsidP="00835025">
            <w:pPr>
              <w:jc w:val="both"/>
            </w:pPr>
          </w:p>
          <w:p w:rsidR="00EC3E73" w:rsidRDefault="00EC3E73" w:rsidP="00835025">
            <w:pPr>
              <w:jc w:val="both"/>
            </w:pPr>
            <w:r>
              <w:t xml:space="preserve">Staff have added </w:t>
            </w:r>
            <w:r w:rsidR="00933FA1">
              <w:t>loose part</w:t>
            </w:r>
            <w:r>
              <w:t xml:space="preserve"> resources </w:t>
            </w:r>
            <w:r w:rsidR="00933FA1">
              <w:t>to the garden and scaffolded children as they have i</w:t>
            </w:r>
            <w:r w:rsidR="002E559A">
              <w:t>nvestigated and explored them, encouraging</w:t>
            </w:r>
            <w:r>
              <w:t xml:space="preserve"> children to engage in problem solving activities such as creating paths and bridges with loose parts</w:t>
            </w:r>
            <w:r w:rsidR="00933FA1">
              <w:t>. As a</w:t>
            </w:r>
            <w:r>
              <w:t xml:space="preserve"> result of this</w:t>
            </w:r>
            <w:r w:rsidR="00933FA1">
              <w:t>,</w:t>
            </w:r>
            <w:r>
              <w:t xml:space="preserve"> children have had the opportunity to design, build, reflect and evaluate during their daily play.</w:t>
            </w:r>
          </w:p>
          <w:p w:rsidR="00933FA1" w:rsidRDefault="00933FA1" w:rsidP="00835025">
            <w:pPr>
              <w:jc w:val="both"/>
            </w:pPr>
          </w:p>
          <w:p w:rsidR="00EC3E73" w:rsidRDefault="00CB7161" w:rsidP="00835025">
            <w:pPr>
              <w:jc w:val="both"/>
            </w:pPr>
            <w:r>
              <w:t>As a result of more purposeful professional dialogue around numeracy, s</w:t>
            </w:r>
            <w:r w:rsidR="00EC3E73">
              <w:t xml:space="preserve">taff have purchased a selection of mathematical games and resources to support and enhance </w:t>
            </w:r>
            <w:r>
              <w:t>children’s numeracy skills, therefore children now have a wide range of opportunities which are specifically designed to encourage and promote their numeracy skills</w:t>
            </w:r>
          </w:p>
          <w:p w:rsidR="00933FA1" w:rsidRDefault="00933FA1" w:rsidP="00835025">
            <w:pPr>
              <w:jc w:val="both"/>
            </w:pPr>
          </w:p>
          <w:p w:rsidR="00933FA1" w:rsidRDefault="00933FA1" w:rsidP="00933FA1">
            <w:pPr>
              <w:jc w:val="both"/>
            </w:pPr>
            <w:r>
              <w:t xml:space="preserve">The numeracy leaflet which is designed to support parents promote mathematics at home has been updated. </w:t>
            </w:r>
          </w:p>
          <w:p w:rsidR="00BF5F37" w:rsidRPr="00842363" w:rsidRDefault="00BF5F37" w:rsidP="00835025">
            <w:pPr>
              <w:jc w:val="both"/>
              <w:rPr>
                <w:color w:val="7030A0"/>
              </w:rPr>
            </w:pPr>
          </w:p>
          <w:p w:rsidR="00BF5F37" w:rsidRPr="00842363" w:rsidRDefault="00BF5F37" w:rsidP="00835025">
            <w:pPr>
              <w:jc w:val="both"/>
              <w:rPr>
                <w:color w:val="7030A0"/>
              </w:rPr>
            </w:pPr>
          </w:p>
        </w:tc>
      </w:tr>
      <w:tr w:rsidR="00BF5F37" w:rsidRPr="00842363" w:rsidTr="00442DAF">
        <w:tc>
          <w:tcPr>
            <w:tcW w:w="1550" w:type="dxa"/>
          </w:tcPr>
          <w:p w:rsidR="00BF5F37" w:rsidRPr="00842363" w:rsidRDefault="00BF5F37" w:rsidP="00835025">
            <w:pPr>
              <w:jc w:val="both"/>
              <w:rPr>
                <w:color w:val="7030A0"/>
              </w:rPr>
            </w:pPr>
            <w:r w:rsidRPr="00842363">
              <w:rPr>
                <w:color w:val="7030A0"/>
              </w:rPr>
              <w:lastRenderedPageBreak/>
              <w:t>Impact:</w:t>
            </w:r>
          </w:p>
        </w:tc>
        <w:tc>
          <w:tcPr>
            <w:tcW w:w="12332" w:type="dxa"/>
          </w:tcPr>
          <w:p w:rsidR="00BF5F37" w:rsidRPr="00D34020" w:rsidRDefault="00BF5F37" w:rsidP="00835025">
            <w:pPr>
              <w:jc w:val="both"/>
            </w:pPr>
          </w:p>
          <w:p w:rsidR="00BF5F37" w:rsidRDefault="002948EB" w:rsidP="00835025">
            <w:pPr>
              <w:jc w:val="both"/>
            </w:pPr>
            <w:r w:rsidRPr="002948EB">
              <w:t>As a result of a more consistent and focussed approach to numeracy in the nursery</w:t>
            </w:r>
            <w:r>
              <w:t>, staff are becoming more confident when working with children, able to</w:t>
            </w:r>
            <w:r w:rsidR="00077348">
              <w:t xml:space="preserve"> make judgements about children and</w:t>
            </w:r>
            <w:r>
              <w:t xml:space="preserve"> where they are </w:t>
            </w:r>
            <w:r w:rsidR="00077348">
              <w:t xml:space="preserve">in their learning </w:t>
            </w:r>
            <w:r>
              <w:t xml:space="preserve">and </w:t>
            </w:r>
            <w:r w:rsidR="00077348">
              <w:t xml:space="preserve">then </w:t>
            </w:r>
            <w:r>
              <w:t>identifying children’s next steps. This</w:t>
            </w:r>
            <w:r w:rsidR="00100727">
              <w:t xml:space="preserve"> </w:t>
            </w:r>
            <w:r>
              <w:t>improved appr</w:t>
            </w:r>
            <w:r w:rsidR="00100727">
              <w:t>o</w:t>
            </w:r>
            <w:r>
              <w:t>ach</w:t>
            </w:r>
            <w:r w:rsidR="00100727">
              <w:t xml:space="preserve"> has enabled the nursery staff to encourage the children</w:t>
            </w:r>
            <w:r w:rsidRPr="002948EB">
              <w:t xml:space="preserve"> to become more confident and capable mathematicians. The children are taking ownership of their learning and actively developing their skills, learning to identify numerals, count and sequence. </w:t>
            </w:r>
            <w:r w:rsidR="002E559A">
              <w:t>More focussed and meaningful experiences and activities have involved deeper communication between children and educators, this in turn has developed and promoted children’s mathematical language. It</w:t>
            </w:r>
            <w:r w:rsidRPr="002948EB">
              <w:t xml:space="preserve"> also been noted that some children are also becoming increasingly confident and able to support </w:t>
            </w:r>
            <w:r w:rsidR="00100727">
              <w:t xml:space="preserve">other </w:t>
            </w:r>
            <w:r w:rsidRPr="002948EB">
              <w:t xml:space="preserve">children who are less </w:t>
            </w:r>
            <w:r w:rsidR="002E559A">
              <w:t>confident</w:t>
            </w:r>
            <w:r w:rsidRPr="002948EB">
              <w:t>.</w:t>
            </w:r>
          </w:p>
          <w:p w:rsidR="00100727" w:rsidRDefault="00100727" w:rsidP="00835025">
            <w:pPr>
              <w:jc w:val="both"/>
            </w:pPr>
          </w:p>
          <w:p w:rsidR="00BF5F37" w:rsidRDefault="002C7C2C" w:rsidP="00835025">
            <w:pPr>
              <w:jc w:val="both"/>
            </w:pPr>
            <w:r>
              <w:t>Outdoor numeracy has</w:t>
            </w:r>
            <w:r w:rsidR="00EC18A9">
              <w:t xml:space="preserve"> been enhanced greatly with the addition of loose parts. The children are now much more eager to engage in outdoor play. They have significantly developed their creative role play as well as their problem solving skills. The loose part play has promoted many other areas of development such as communication. Children are also using these resources to develop their risk assessing skills as they play</w:t>
            </w:r>
            <w:r w:rsidR="00077348">
              <w:t>,</w:t>
            </w:r>
            <w:r w:rsidR="00EC18A9">
              <w:t xml:space="preserve"> </w:t>
            </w:r>
            <w:r w:rsidR="00077348">
              <w:t>designing bridges</w:t>
            </w:r>
            <w:r w:rsidR="00EC18A9">
              <w:t>, trap</w:t>
            </w:r>
            <w:r w:rsidR="00077348">
              <w:t>s</w:t>
            </w:r>
            <w:r w:rsidR="00EC18A9">
              <w:t xml:space="preserve"> and pathways. </w:t>
            </w:r>
            <w:r w:rsidR="00100727">
              <w:t>The wide variety of new</w:t>
            </w:r>
            <w:r w:rsidR="00077348">
              <w:t xml:space="preserve"> </w:t>
            </w:r>
            <w:r>
              <w:t>numeracy focussed resources has</w:t>
            </w:r>
            <w:r w:rsidR="00100727">
              <w:t xml:space="preserve"> encouraged the children to explore with greater enthusiasm</w:t>
            </w:r>
            <w:r w:rsidR="00182C19">
              <w:t>,</w:t>
            </w:r>
            <w:r w:rsidR="00100727">
              <w:t xml:space="preserve"> </w:t>
            </w:r>
            <w:r w:rsidR="00077348">
              <w:t>inspiring</w:t>
            </w:r>
            <w:r w:rsidR="00100727">
              <w:t xml:space="preserve"> children </w:t>
            </w:r>
            <w:r w:rsidR="00077348">
              <w:t xml:space="preserve">to become </w:t>
            </w:r>
            <w:r w:rsidR="00100727">
              <w:t xml:space="preserve">curious and creative, as a result of this they are </w:t>
            </w:r>
            <w:r w:rsidR="00077348">
              <w:t>growing into</w:t>
            </w:r>
            <w:r w:rsidR="00100727">
              <w:t xml:space="preserve"> independent and eager learners.</w:t>
            </w:r>
          </w:p>
          <w:p w:rsidR="00077348" w:rsidRPr="00077348" w:rsidRDefault="00077348" w:rsidP="00835025">
            <w:pPr>
              <w:jc w:val="both"/>
            </w:pPr>
            <w:r>
              <w:lastRenderedPageBreak/>
              <w:t>The numeracy leaflet has supported parents as they play and le</w:t>
            </w:r>
            <w:r w:rsidR="00B15B68">
              <w:t>arn with their children at home.</w:t>
            </w:r>
            <w:r>
              <w:t xml:space="preserve"> </w:t>
            </w:r>
            <w:r w:rsidR="00B15B68">
              <w:t>I</w:t>
            </w:r>
            <w:r>
              <w:t xml:space="preserve">t has given them a range of ideas and activities which </w:t>
            </w:r>
            <w:r w:rsidR="00B15B68">
              <w:t xml:space="preserve">will promote numeracy skills and </w:t>
            </w:r>
            <w:r>
              <w:t xml:space="preserve">they can incorporate </w:t>
            </w:r>
            <w:r w:rsidR="00B15B68">
              <w:t xml:space="preserve">them into their routines </w:t>
            </w:r>
            <w:r>
              <w:t xml:space="preserve">as they go about their daily </w:t>
            </w:r>
            <w:r w:rsidR="00B15B68">
              <w:t>lives.</w:t>
            </w:r>
          </w:p>
          <w:p w:rsidR="00BF5F37" w:rsidRPr="00842363" w:rsidRDefault="00BF5F37" w:rsidP="00835025">
            <w:pPr>
              <w:jc w:val="both"/>
              <w:rPr>
                <w:color w:val="7030A0"/>
              </w:rPr>
            </w:pPr>
          </w:p>
        </w:tc>
      </w:tr>
      <w:tr w:rsidR="00BF5F37" w:rsidRPr="00842363" w:rsidTr="00442DAF">
        <w:tc>
          <w:tcPr>
            <w:tcW w:w="1550" w:type="dxa"/>
          </w:tcPr>
          <w:p w:rsidR="00BF5F37" w:rsidRPr="00842363" w:rsidRDefault="00BF5F37" w:rsidP="00835025">
            <w:pPr>
              <w:jc w:val="both"/>
              <w:rPr>
                <w:color w:val="7030A0"/>
              </w:rPr>
            </w:pPr>
            <w:r w:rsidRPr="00842363">
              <w:rPr>
                <w:color w:val="7030A0"/>
              </w:rPr>
              <w:lastRenderedPageBreak/>
              <w:t>Next steps:</w:t>
            </w:r>
          </w:p>
        </w:tc>
        <w:tc>
          <w:tcPr>
            <w:tcW w:w="12332" w:type="dxa"/>
          </w:tcPr>
          <w:p w:rsidR="00BF5F37" w:rsidRPr="00B15B68" w:rsidRDefault="00BF5F37" w:rsidP="00835025">
            <w:pPr>
              <w:jc w:val="both"/>
            </w:pPr>
          </w:p>
          <w:p w:rsidR="00BF5F37" w:rsidRPr="00182C19" w:rsidRDefault="00B15B68" w:rsidP="00B15B68">
            <w:pPr>
              <w:pStyle w:val="ListParagraph"/>
              <w:numPr>
                <w:ilvl w:val="0"/>
                <w:numId w:val="3"/>
              </w:numPr>
              <w:jc w:val="both"/>
              <w:rPr>
                <w:rFonts w:ascii="Arial" w:hAnsi="Arial" w:cs="Arial"/>
              </w:rPr>
            </w:pPr>
            <w:r w:rsidRPr="00182C19">
              <w:rPr>
                <w:rFonts w:ascii="Arial" w:hAnsi="Arial" w:cs="Arial"/>
              </w:rPr>
              <w:t>Continue to develop and roll out numeracy sack program</w:t>
            </w:r>
          </w:p>
          <w:p w:rsidR="00B15B68" w:rsidRPr="00182C19" w:rsidRDefault="00B15B68" w:rsidP="00B15B68">
            <w:pPr>
              <w:pStyle w:val="ListParagraph"/>
              <w:numPr>
                <w:ilvl w:val="0"/>
                <w:numId w:val="3"/>
              </w:numPr>
              <w:jc w:val="both"/>
              <w:rPr>
                <w:rFonts w:ascii="Arial" w:hAnsi="Arial" w:cs="Arial"/>
              </w:rPr>
            </w:pPr>
            <w:r w:rsidRPr="00182C19">
              <w:rPr>
                <w:rFonts w:ascii="Arial" w:hAnsi="Arial" w:cs="Arial"/>
              </w:rPr>
              <w:t>Continue to find exciting and stimulating ways to develop children’s numeracy skills</w:t>
            </w:r>
          </w:p>
          <w:p w:rsidR="00B15B68" w:rsidRPr="00182C19" w:rsidRDefault="00B15B68" w:rsidP="00B15B68">
            <w:pPr>
              <w:pStyle w:val="ListParagraph"/>
              <w:numPr>
                <w:ilvl w:val="0"/>
                <w:numId w:val="3"/>
              </w:numPr>
              <w:jc w:val="both"/>
              <w:rPr>
                <w:rFonts w:ascii="Arial" w:hAnsi="Arial" w:cs="Arial"/>
              </w:rPr>
            </w:pPr>
            <w:r w:rsidRPr="00182C19">
              <w:rPr>
                <w:rFonts w:ascii="Arial" w:hAnsi="Arial" w:cs="Arial"/>
              </w:rPr>
              <w:t xml:space="preserve">Ensure that all staff including new members of staff have the opportunity to attend numeracy training </w:t>
            </w:r>
          </w:p>
          <w:p w:rsidR="00BF5F37" w:rsidRPr="00182C19" w:rsidRDefault="00BF5F37" w:rsidP="00835025">
            <w:pPr>
              <w:jc w:val="both"/>
            </w:pPr>
          </w:p>
          <w:p w:rsidR="00BF5F37" w:rsidRPr="00182C19" w:rsidRDefault="00BF5F37" w:rsidP="00835025">
            <w:pPr>
              <w:jc w:val="both"/>
            </w:pPr>
          </w:p>
          <w:p w:rsidR="00BF5F37" w:rsidRDefault="00BF5F37" w:rsidP="00835025">
            <w:pPr>
              <w:jc w:val="both"/>
              <w:rPr>
                <w:color w:val="7030A0"/>
              </w:rPr>
            </w:pPr>
          </w:p>
          <w:p w:rsidR="00BF5F37" w:rsidRDefault="00BF5F37" w:rsidP="00835025">
            <w:pPr>
              <w:jc w:val="both"/>
              <w:rPr>
                <w:color w:val="7030A0"/>
              </w:rPr>
            </w:pPr>
          </w:p>
          <w:p w:rsidR="00BF5F37" w:rsidRDefault="00BF5F37" w:rsidP="00835025">
            <w:pPr>
              <w:jc w:val="both"/>
              <w:rPr>
                <w:color w:val="7030A0"/>
              </w:rPr>
            </w:pPr>
          </w:p>
          <w:p w:rsidR="00BF5F37" w:rsidRDefault="00BF5F37" w:rsidP="00835025">
            <w:pPr>
              <w:jc w:val="both"/>
              <w:rPr>
                <w:color w:val="7030A0"/>
              </w:rPr>
            </w:pPr>
          </w:p>
          <w:p w:rsidR="00BF5F37" w:rsidRDefault="00BF5F37" w:rsidP="00835025">
            <w:pPr>
              <w:jc w:val="both"/>
              <w:rPr>
                <w:color w:val="7030A0"/>
              </w:rPr>
            </w:pPr>
          </w:p>
          <w:p w:rsidR="00BF5F37" w:rsidRDefault="00BF5F37" w:rsidP="00835025">
            <w:pPr>
              <w:jc w:val="both"/>
              <w:rPr>
                <w:color w:val="7030A0"/>
              </w:rPr>
            </w:pPr>
          </w:p>
          <w:p w:rsidR="00BF5F37" w:rsidRDefault="00A77BFC" w:rsidP="00835025">
            <w:pPr>
              <w:jc w:val="both"/>
              <w:rPr>
                <w:color w:val="7030A0"/>
              </w:rPr>
            </w:pPr>
            <w:r>
              <w:rPr>
                <w:color w:val="7030A0"/>
              </w:rPr>
              <w:t>Completed by Nursery Senior ECE S Pirie June 2017</w:t>
            </w:r>
            <w:bookmarkStart w:id="0" w:name="_GoBack"/>
            <w:bookmarkEnd w:id="0"/>
          </w:p>
          <w:p w:rsidR="00BF5F37" w:rsidRPr="00842363" w:rsidRDefault="00BF5F37" w:rsidP="00835025">
            <w:pPr>
              <w:jc w:val="both"/>
              <w:rPr>
                <w:color w:val="7030A0"/>
              </w:rPr>
            </w:pPr>
          </w:p>
          <w:p w:rsidR="00BF5F37" w:rsidRPr="00842363" w:rsidRDefault="00BF5F37" w:rsidP="00835025">
            <w:pPr>
              <w:jc w:val="both"/>
              <w:rPr>
                <w:color w:val="7030A0"/>
              </w:rPr>
            </w:pPr>
          </w:p>
        </w:tc>
      </w:tr>
    </w:tbl>
    <w:p w:rsidR="007F6E68" w:rsidRDefault="007F6E68"/>
    <w:p w:rsidR="00E869EA" w:rsidRDefault="00E869EA" w:rsidP="00E869EA"/>
    <w:p w:rsidR="00E869EA" w:rsidRDefault="00E869EA" w:rsidP="00E869EA">
      <w:pPr>
        <w:rPr>
          <w:b/>
        </w:rPr>
      </w:pPr>
    </w:p>
    <w:p w:rsidR="00E869EA" w:rsidRDefault="00E869EA" w:rsidP="00E869EA"/>
    <w:p w:rsidR="00E869EA" w:rsidRDefault="00E869EA" w:rsidP="00E869EA"/>
    <w:p w:rsidR="00E869EA" w:rsidRDefault="00E869EA" w:rsidP="00E869EA"/>
    <w:p w:rsidR="00E869EA" w:rsidRDefault="00E869EA" w:rsidP="00E869EA"/>
    <w:p w:rsidR="00E869EA" w:rsidRDefault="00E869EA"/>
    <w:sectPr w:rsidR="00E869EA" w:rsidSect="00442DA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A1F38"/>
    <w:multiLevelType w:val="hybridMultilevel"/>
    <w:tmpl w:val="1AA21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42974A5"/>
    <w:multiLevelType w:val="hybridMultilevel"/>
    <w:tmpl w:val="3D3C9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C2661F2"/>
    <w:multiLevelType w:val="hybridMultilevel"/>
    <w:tmpl w:val="7CE61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F37"/>
    <w:rsid w:val="00077348"/>
    <w:rsid w:val="00100727"/>
    <w:rsid w:val="00182C19"/>
    <w:rsid w:val="002948EB"/>
    <w:rsid w:val="002C7C2C"/>
    <w:rsid w:val="002E559A"/>
    <w:rsid w:val="002F41EC"/>
    <w:rsid w:val="003063ED"/>
    <w:rsid w:val="00442DAF"/>
    <w:rsid w:val="00506334"/>
    <w:rsid w:val="00557C9E"/>
    <w:rsid w:val="006F50CC"/>
    <w:rsid w:val="007F6E68"/>
    <w:rsid w:val="008A65BD"/>
    <w:rsid w:val="00933FA1"/>
    <w:rsid w:val="00A77BFC"/>
    <w:rsid w:val="00B15B68"/>
    <w:rsid w:val="00BF5F37"/>
    <w:rsid w:val="00CB7161"/>
    <w:rsid w:val="00E86287"/>
    <w:rsid w:val="00E869EA"/>
    <w:rsid w:val="00EC18A9"/>
    <w:rsid w:val="00EC3E73"/>
    <w:rsid w:val="00F83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508A2-6C69-40B4-B8FD-840056FBC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F37"/>
    <w:pPr>
      <w:spacing w:after="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5F37"/>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2DAF"/>
    <w:pPr>
      <w:spacing w:after="160"/>
      <w:ind w:left="720"/>
      <w:contextualSpacing/>
    </w:pPr>
    <w:rPr>
      <w:rFonts w:ascii="Calibri" w:eastAsia="Calibri" w:hAnsi="Calibri" w:cs="Times New Roman"/>
    </w:rPr>
  </w:style>
  <w:style w:type="paragraph" w:customStyle="1" w:styleId="Default">
    <w:name w:val="Default"/>
    <w:rsid w:val="00442DAF"/>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EC18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8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93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Cassidy</dc:creator>
  <cp:keywords/>
  <dc:description/>
  <cp:lastModifiedBy>Sharon Cassidy</cp:lastModifiedBy>
  <cp:revision>3</cp:revision>
  <cp:lastPrinted>2017-06-06T14:01:00Z</cp:lastPrinted>
  <dcterms:created xsi:type="dcterms:W3CDTF">2017-06-14T14:14:00Z</dcterms:created>
  <dcterms:modified xsi:type="dcterms:W3CDTF">2017-06-26T09:35:00Z</dcterms:modified>
</cp:coreProperties>
</file>