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82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3882"/>
      </w:tblGrid>
      <w:tr w:rsidR="00BF5F37" w:rsidRPr="00842363" w:rsidTr="00442DAF">
        <w:trPr>
          <w:trHeight w:val="425"/>
        </w:trPr>
        <w:tc>
          <w:tcPr>
            <w:tcW w:w="13882" w:type="dxa"/>
            <w:hideMark/>
          </w:tcPr>
          <w:p w:rsidR="00BF5F37" w:rsidRDefault="00F8338F" w:rsidP="00835025">
            <w:pPr>
              <w:jc w:val="both"/>
              <w:rPr>
                <w:color w:val="7030A0"/>
              </w:rPr>
            </w:pPr>
            <w:r>
              <w:rPr>
                <w:b/>
                <w:color w:val="7030A0"/>
              </w:rPr>
              <w:t>Nursery Class</w:t>
            </w:r>
            <w:r w:rsidR="00BF5F37" w:rsidRPr="00842363">
              <w:rPr>
                <w:b/>
                <w:color w:val="7030A0"/>
              </w:rPr>
              <w:t xml:space="preserve"> Priority</w:t>
            </w:r>
            <w:r w:rsidR="004F51E4">
              <w:rPr>
                <w:b/>
                <w:color w:val="7030A0"/>
              </w:rPr>
              <w:t xml:space="preserve"> 3</w:t>
            </w:r>
            <w:r>
              <w:rPr>
                <w:b/>
                <w:color w:val="7030A0"/>
              </w:rPr>
              <w:t xml:space="preserve"> </w:t>
            </w:r>
            <w:r w:rsidR="00BF5F37" w:rsidRPr="00842363">
              <w:rPr>
                <w:b/>
                <w:color w:val="7030A0"/>
              </w:rPr>
              <w:t>:</w:t>
            </w:r>
            <w:r w:rsidR="00BF5F37" w:rsidRPr="00842363">
              <w:rPr>
                <w:color w:val="7030A0"/>
              </w:rPr>
              <w:t xml:space="preserve">  </w:t>
            </w: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F8338F" w:rsidRDefault="00BF5F37" w:rsidP="006F50C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To </w:t>
            </w:r>
            <w:r w:rsidR="004F51E4">
              <w:rPr>
                <w:rFonts w:eastAsia="Calibri"/>
                <w:sz w:val="20"/>
                <w:szCs w:val="20"/>
              </w:rPr>
              <w:t>improve staff skills and knowledge and ensure consistent practice with GIRFEC policy</w:t>
            </w:r>
          </w:p>
          <w:p w:rsidR="006F50CC" w:rsidRDefault="006F50CC" w:rsidP="006F50CC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6F50CC" w:rsidRPr="00D34020" w:rsidRDefault="006F50CC" w:rsidP="006F50CC">
            <w:pPr>
              <w:jc w:val="both"/>
            </w:pPr>
          </w:p>
        </w:tc>
      </w:tr>
    </w:tbl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589"/>
      </w:tblGrid>
      <w:tr w:rsidR="00442DAF" w:rsidRPr="00AC51B0" w:rsidTr="00442DAF">
        <w:tc>
          <w:tcPr>
            <w:tcW w:w="4649" w:type="dxa"/>
            <w:shd w:val="clear" w:color="auto" w:fill="D9D9D9" w:themeFill="background1" w:themeFillShade="D9"/>
          </w:tcPr>
          <w:p w:rsidR="00442DAF" w:rsidRPr="00AC51B0" w:rsidRDefault="00442DAF" w:rsidP="009E59B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:rsidR="00442DAF" w:rsidRPr="00AC51B0" w:rsidRDefault="00442DAF" w:rsidP="009E59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C51B0">
              <w:rPr>
                <w:rFonts w:eastAsia="Calibri"/>
                <w:b/>
                <w:sz w:val="20"/>
                <w:szCs w:val="20"/>
              </w:rPr>
              <w:t>National Improvement Framework Priorities</w:t>
            </w:r>
          </w:p>
          <w:p w:rsidR="00442DAF" w:rsidRPr="00AC51B0" w:rsidRDefault="00442DAF" w:rsidP="009E59B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4649" w:type="dxa"/>
            <w:shd w:val="clear" w:color="auto" w:fill="D9D9D9" w:themeFill="background1" w:themeFillShade="D9"/>
          </w:tcPr>
          <w:p w:rsidR="00442DAF" w:rsidRPr="00AC51B0" w:rsidRDefault="00442DAF" w:rsidP="009E59B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:rsidR="00442DAF" w:rsidRPr="00AC51B0" w:rsidRDefault="00442DAF" w:rsidP="009E59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C51B0">
              <w:rPr>
                <w:rFonts w:eastAsia="Calibri"/>
                <w:b/>
                <w:sz w:val="20"/>
                <w:szCs w:val="20"/>
              </w:rPr>
              <w:t>HGIOS 4 &amp; HGIOELC Quality Indicators</w:t>
            </w:r>
          </w:p>
        </w:tc>
        <w:tc>
          <w:tcPr>
            <w:tcW w:w="4589" w:type="dxa"/>
            <w:shd w:val="clear" w:color="auto" w:fill="D9D9D9" w:themeFill="background1" w:themeFillShade="D9"/>
          </w:tcPr>
          <w:p w:rsidR="00442DAF" w:rsidRPr="00AC51B0" w:rsidRDefault="00442DAF" w:rsidP="009E59B3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</w:p>
          <w:p w:rsidR="00442DAF" w:rsidRPr="00AC51B0" w:rsidRDefault="00442DAF" w:rsidP="009E59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C51B0">
              <w:rPr>
                <w:rFonts w:eastAsia="Calibri"/>
                <w:b/>
                <w:sz w:val="20"/>
                <w:szCs w:val="20"/>
              </w:rPr>
              <w:t>Integrated Children’s Services Plan Outcomes</w:t>
            </w:r>
          </w:p>
        </w:tc>
      </w:tr>
      <w:tr w:rsidR="00442DAF" w:rsidRPr="00AC51B0" w:rsidTr="00442DAF">
        <w:tc>
          <w:tcPr>
            <w:tcW w:w="4649" w:type="dxa"/>
            <w:shd w:val="clear" w:color="auto" w:fill="auto"/>
          </w:tcPr>
          <w:p w:rsidR="00442DAF" w:rsidRPr="00AC51B0" w:rsidRDefault="00442DAF" w:rsidP="009E59B3">
            <w:pPr>
              <w:rPr>
                <w:rFonts w:eastAsia="Calibri"/>
                <w:sz w:val="4"/>
                <w:szCs w:val="4"/>
              </w:rPr>
            </w:pP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Improvement in attainment, particularly in literacy and numeracy.</w:t>
            </w: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Closing the attainment gap between the most and least disadvantaged children.</w:t>
            </w: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Improvement in children and young people’s health and wellbeing.</w:t>
            </w: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Improvement in employability skills and sustained, positive destinations.</w:t>
            </w:r>
          </w:p>
          <w:p w:rsidR="00442DAF" w:rsidRPr="00AC51B0" w:rsidRDefault="00442DAF" w:rsidP="009E59B3">
            <w:pPr>
              <w:rPr>
                <w:rFonts w:eastAsia="Calibri"/>
                <w:sz w:val="20"/>
                <w:szCs w:val="20"/>
              </w:rPr>
            </w:pPr>
          </w:p>
          <w:p w:rsidR="00442DAF" w:rsidRPr="00AC51B0" w:rsidRDefault="00442DAF" w:rsidP="009E59B3">
            <w:pPr>
              <w:rPr>
                <w:rFonts w:eastAsia="Calibri"/>
                <w:sz w:val="20"/>
                <w:szCs w:val="20"/>
              </w:rPr>
            </w:pPr>
            <w:r w:rsidRPr="00AC51B0">
              <w:rPr>
                <w:rFonts w:eastAsia="Calibri"/>
                <w:sz w:val="20"/>
                <w:szCs w:val="20"/>
              </w:rPr>
              <w:t>Key drivers of improvement</w:t>
            </w: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School leadership</w:t>
            </w: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Teacher professionalism</w:t>
            </w: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Parental engagement</w:t>
            </w: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Assessment of children’s progress</w:t>
            </w: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School improvement</w:t>
            </w: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Performance information</w:t>
            </w:r>
          </w:p>
        </w:tc>
        <w:tc>
          <w:tcPr>
            <w:tcW w:w="4649" w:type="dxa"/>
            <w:shd w:val="clear" w:color="auto" w:fill="auto"/>
          </w:tcPr>
          <w:p w:rsidR="00442DAF" w:rsidRPr="00AC51B0" w:rsidRDefault="00442DAF" w:rsidP="009E59B3">
            <w:pPr>
              <w:rPr>
                <w:rFonts w:eastAsia="Calibri"/>
                <w:sz w:val="4"/>
                <w:szCs w:val="4"/>
              </w:rPr>
            </w:pP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1.1 Self-evaluation for self-improvement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1.2 Leadership for learning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1.3 Leadership of change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1.4 Leadership and management of staff/ practitioners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1.5 Management of resources to promote equity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2.1 Safeguarding and child protection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2.2 Curriculum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2.3 Learning teaching and assessment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2.4 Personalised support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2.5 Family learning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2.6 Transitions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2.7 Partnerships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3.1 Improving/ ensuring wellbeing, equality and inclusion</w:t>
            </w:r>
          </w:p>
          <w:p w:rsidR="00442DAF" w:rsidRPr="00AC51B0" w:rsidRDefault="00442DAF" w:rsidP="009E59B3">
            <w:pPr>
              <w:rPr>
                <w:rFonts w:eastAsia="Calibri"/>
                <w:b/>
                <w:sz w:val="16"/>
                <w:szCs w:val="16"/>
              </w:rPr>
            </w:pPr>
          </w:p>
          <w:p w:rsidR="00442DAF" w:rsidRPr="00A8450F" w:rsidRDefault="00442DAF" w:rsidP="009E59B3">
            <w:pPr>
              <w:rPr>
                <w:rFonts w:eastAsia="Calibri"/>
                <w:i/>
                <w:sz w:val="16"/>
                <w:szCs w:val="16"/>
              </w:rPr>
            </w:pPr>
            <w:r w:rsidRPr="00A8450F">
              <w:rPr>
                <w:rFonts w:eastAsia="Calibri"/>
                <w:i/>
                <w:sz w:val="16"/>
                <w:szCs w:val="16"/>
              </w:rPr>
              <w:t>Specific to HGIOS 4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3.2 Raising attainment and achievement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3.3 Increasing creativity and employability</w:t>
            </w:r>
          </w:p>
          <w:p w:rsidR="00442DAF" w:rsidRPr="00AC51B0" w:rsidRDefault="00442DAF" w:rsidP="009E59B3">
            <w:pPr>
              <w:rPr>
                <w:rFonts w:eastAsia="Calibri"/>
                <w:sz w:val="8"/>
                <w:szCs w:val="8"/>
              </w:rPr>
            </w:pPr>
          </w:p>
          <w:p w:rsidR="00442DAF" w:rsidRPr="00A8450F" w:rsidRDefault="00442DAF" w:rsidP="009E59B3">
            <w:pPr>
              <w:pStyle w:val="Default"/>
              <w:rPr>
                <w:i/>
                <w:sz w:val="16"/>
                <w:szCs w:val="16"/>
              </w:rPr>
            </w:pPr>
            <w:r w:rsidRPr="00A8450F">
              <w:rPr>
                <w:i/>
                <w:sz w:val="16"/>
                <w:szCs w:val="16"/>
              </w:rPr>
              <w:t>Specific to HGIOELC</w:t>
            </w:r>
          </w:p>
          <w:p w:rsidR="00442DAF" w:rsidRPr="00AC51B0" w:rsidRDefault="00442DAF" w:rsidP="009E59B3">
            <w:pPr>
              <w:pStyle w:val="Default"/>
              <w:rPr>
                <w:sz w:val="16"/>
                <w:szCs w:val="16"/>
              </w:rPr>
            </w:pPr>
            <w:r w:rsidRPr="00AC51B0">
              <w:rPr>
                <w:sz w:val="16"/>
                <w:szCs w:val="16"/>
              </w:rPr>
              <w:t xml:space="preserve">3.2 Securing children’s progress </w:t>
            </w:r>
          </w:p>
          <w:p w:rsidR="00442DAF" w:rsidRPr="00AC51B0" w:rsidRDefault="00442DAF" w:rsidP="009E59B3">
            <w:pPr>
              <w:rPr>
                <w:rFonts w:eastAsia="Calibri"/>
                <w:sz w:val="16"/>
                <w:szCs w:val="16"/>
              </w:rPr>
            </w:pPr>
            <w:r w:rsidRPr="00AC51B0">
              <w:rPr>
                <w:rFonts w:eastAsia="Calibri"/>
                <w:sz w:val="16"/>
                <w:szCs w:val="16"/>
              </w:rPr>
              <w:t>3.3 Developing creativity and skills for life and learning</w:t>
            </w:r>
          </w:p>
          <w:p w:rsidR="00442DAF" w:rsidRPr="00AC51B0" w:rsidRDefault="00442DAF" w:rsidP="009E59B3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589" w:type="dxa"/>
            <w:shd w:val="clear" w:color="auto" w:fill="auto"/>
          </w:tcPr>
          <w:p w:rsidR="00442DAF" w:rsidRPr="00AC51B0" w:rsidRDefault="00442DAF" w:rsidP="009E59B3">
            <w:pPr>
              <w:pStyle w:val="ListParagraph"/>
              <w:ind w:left="360"/>
              <w:rPr>
                <w:rFonts w:ascii="Arial" w:hAnsi="Arial" w:cs="Arial"/>
                <w:sz w:val="4"/>
                <w:szCs w:val="4"/>
              </w:rPr>
            </w:pP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All children reach appropriate development and social milestones through improved support in early years.</w:t>
            </w: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Support for disadvantaged and vulnerable children, young people and families is improved.</w:t>
            </w: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Health and wellbeing outcomes are improved for children and young people.</w:t>
            </w:r>
          </w:p>
          <w:p w:rsidR="00442DAF" w:rsidRPr="00AC51B0" w:rsidRDefault="00442DAF" w:rsidP="009E59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1B0">
              <w:rPr>
                <w:rFonts w:ascii="Arial" w:hAnsi="Arial" w:cs="Arial"/>
                <w:sz w:val="20"/>
                <w:szCs w:val="20"/>
              </w:rPr>
              <w:t>Raised attainment for all young people leading to positive destinations.</w:t>
            </w:r>
          </w:p>
          <w:p w:rsidR="00442DAF" w:rsidRPr="00AC51B0" w:rsidRDefault="00442DAF" w:rsidP="009E59B3">
            <w:pPr>
              <w:rPr>
                <w:rFonts w:eastAsia="Calibri"/>
                <w:sz w:val="20"/>
                <w:szCs w:val="20"/>
              </w:rPr>
            </w:pPr>
          </w:p>
        </w:tc>
      </w:tr>
    </w:tbl>
    <w:tbl>
      <w:tblPr>
        <w:tblStyle w:val="TableGrid"/>
        <w:tblW w:w="13882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2332"/>
      </w:tblGrid>
      <w:tr w:rsidR="00BF5F37" w:rsidRPr="00842363" w:rsidTr="00442DAF">
        <w:tc>
          <w:tcPr>
            <w:tcW w:w="1550" w:type="dxa"/>
          </w:tcPr>
          <w:p w:rsidR="00BF5F37" w:rsidRPr="00842363" w:rsidRDefault="00BF5F37" w:rsidP="00835025">
            <w:pPr>
              <w:jc w:val="both"/>
              <w:rPr>
                <w:color w:val="7030A0"/>
              </w:rPr>
            </w:pPr>
            <w:r w:rsidRPr="00842363">
              <w:rPr>
                <w:color w:val="7030A0"/>
              </w:rPr>
              <w:t>Progress:</w:t>
            </w:r>
          </w:p>
        </w:tc>
        <w:tc>
          <w:tcPr>
            <w:tcW w:w="12332" w:type="dxa"/>
          </w:tcPr>
          <w:p w:rsidR="00BF5F37" w:rsidRPr="00D34020" w:rsidRDefault="00BF5F37" w:rsidP="00835025">
            <w:pPr>
              <w:jc w:val="both"/>
            </w:pPr>
          </w:p>
          <w:p w:rsidR="009A18DF" w:rsidRDefault="005D6B7C" w:rsidP="006542F0">
            <w:r>
              <w:t>Nursery s</w:t>
            </w:r>
            <w:r w:rsidR="0015576D" w:rsidRPr="0015576D">
              <w:t xml:space="preserve">taff </w:t>
            </w:r>
            <w:r>
              <w:t xml:space="preserve">have attended a variety of training </w:t>
            </w:r>
            <w:r w:rsidR="009A18DF">
              <w:t xml:space="preserve">courses </w:t>
            </w:r>
            <w:r>
              <w:t>to promote and enhance their knowledge and understanding of GI</w:t>
            </w:r>
            <w:r w:rsidR="009A18DF">
              <w:t>R</w:t>
            </w:r>
            <w:r w:rsidR="005F5D5C">
              <w:t>FEC, i</w:t>
            </w:r>
            <w:r w:rsidR="009A18DF">
              <w:t>ncluding</w:t>
            </w:r>
            <w:r w:rsidR="006542F0">
              <w:t xml:space="preserve"> the November and February in-service days</w:t>
            </w:r>
            <w:r w:rsidR="009A18DF">
              <w:t xml:space="preserve"> </w:t>
            </w:r>
            <w:r w:rsidR="006542F0">
              <w:t xml:space="preserve">training run by Stirling and </w:t>
            </w:r>
            <w:r w:rsidR="009A18DF">
              <w:t>Clackmannanshire</w:t>
            </w:r>
          </w:p>
          <w:p w:rsidR="0015576D" w:rsidRPr="0015576D" w:rsidRDefault="006542F0" w:rsidP="006542F0">
            <w:r>
              <w:t xml:space="preserve"> Council. </w:t>
            </w:r>
            <w:r w:rsidR="0015576D" w:rsidRPr="0015576D">
              <w:t xml:space="preserve"> </w:t>
            </w:r>
            <w:r w:rsidR="005F5D5C">
              <w:t xml:space="preserve">These </w:t>
            </w:r>
            <w:r w:rsidR="009A18DF">
              <w:t xml:space="preserve">enabled staff to ask questions and receive informative answers. </w:t>
            </w:r>
            <w:r w:rsidR="00885DE6">
              <w:t>A</w:t>
            </w:r>
            <w:r w:rsidR="00C1139F">
              <w:t xml:space="preserve">s a </w:t>
            </w:r>
            <w:r w:rsidR="00AE1676">
              <w:t>result,</w:t>
            </w:r>
            <w:r w:rsidR="00885DE6">
              <w:t xml:space="preserve"> the training </w:t>
            </w:r>
            <w:r w:rsidR="00C1139F">
              <w:t xml:space="preserve">has </w:t>
            </w:r>
            <w:r w:rsidR="00885DE6">
              <w:t>g</w:t>
            </w:r>
            <w:r w:rsidR="00C1139F">
              <w:t>iven</w:t>
            </w:r>
            <w:r w:rsidR="00885DE6">
              <w:t xml:space="preserve"> staff a greater understanding of the </w:t>
            </w:r>
            <w:r w:rsidR="00AE1676">
              <w:t>Staged I</w:t>
            </w:r>
            <w:r w:rsidR="00885DE6">
              <w:t>ntervention process</w:t>
            </w:r>
            <w:r w:rsidR="00C1139F">
              <w:t xml:space="preserve">. </w:t>
            </w:r>
            <w:r w:rsidR="009A18DF">
              <w:t>It</w:t>
            </w:r>
            <w:r w:rsidR="00C1139F">
              <w:t xml:space="preserve"> </w:t>
            </w:r>
            <w:r w:rsidR="009A18DF">
              <w:t>enable</w:t>
            </w:r>
            <w:r w:rsidR="00AE1676">
              <w:t>s</w:t>
            </w:r>
            <w:r w:rsidR="009A18DF">
              <w:t xml:space="preserve"> staff to work together on Staged I</w:t>
            </w:r>
            <w:r w:rsidR="00A05390">
              <w:t xml:space="preserve">ntervention with a greater consistency. </w:t>
            </w:r>
            <w:r w:rsidR="00AE1676">
              <w:t xml:space="preserve">Which has </w:t>
            </w:r>
            <w:r w:rsidR="00A05390">
              <w:t>result</w:t>
            </w:r>
            <w:r w:rsidR="00AE1676">
              <w:t xml:space="preserve">ed in </w:t>
            </w:r>
            <w:r w:rsidR="00A05390">
              <w:t xml:space="preserve">a greater quality of care and appropriate support for the children who </w:t>
            </w:r>
            <w:r w:rsidR="00AE1676">
              <w:t>require</w:t>
            </w:r>
            <w:r w:rsidR="00A05390">
              <w:t xml:space="preserve"> it. </w:t>
            </w:r>
          </w:p>
          <w:p w:rsidR="005D6B7C" w:rsidRDefault="00AE1676" w:rsidP="00835025">
            <w:pPr>
              <w:jc w:val="both"/>
            </w:pPr>
            <w:r>
              <w:t>A</w:t>
            </w:r>
            <w:r w:rsidR="006542F0">
              <w:t xml:space="preserve"> member of staff attended the Pastoral </w:t>
            </w:r>
            <w:r>
              <w:t xml:space="preserve">Notes </w:t>
            </w:r>
            <w:r w:rsidR="00A07418">
              <w:t>training for Seemis</w:t>
            </w:r>
            <w:r w:rsidR="005F5D5C">
              <w:t xml:space="preserve"> and shared this with the rest of the team</w:t>
            </w:r>
            <w:r w:rsidR="00A07418">
              <w:t xml:space="preserve">. </w:t>
            </w:r>
            <w:r w:rsidR="00C1139F">
              <w:t xml:space="preserve">As a result </w:t>
            </w:r>
            <w:r w:rsidR="00464CFA">
              <w:t>staff are now more confident recording events on Seemis</w:t>
            </w:r>
            <w:r w:rsidR="00EA1328">
              <w:t>.</w:t>
            </w:r>
          </w:p>
          <w:p w:rsidR="00AF6CC3" w:rsidRDefault="00464CFA" w:rsidP="00835025">
            <w:pPr>
              <w:jc w:val="both"/>
            </w:pPr>
            <w:r>
              <w:t>A</w:t>
            </w:r>
            <w:r w:rsidR="005D6B7C">
              <w:t xml:space="preserve"> member of staff has </w:t>
            </w:r>
            <w:r w:rsidR="00C00621">
              <w:t xml:space="preserve">recently </w:t>
            </w:r>
            <w:r w:rsidR="005D6B7C">
              <w:t xml:space="preserve">completed </w:t>
            </w:r>
            <w:r>
              <w:t>their SVQ 2</w:t>
            </w:r>
            <w:r w:rsidR="005D6B7C">
              <w:t xml:space="preserve"> SLA Qualification which covered a range of content including </w:t>
            </w:r>
            <w:r w:rsidR="00885DE6">
              <w:t>International</w:t>
            </w:r>
            <w:r w:rsidR="005D6B7C">
              <w:t xml:space="preserve">/National and local legislation </w:t>
            </w:r>
            <w:r>
              <w:t>which includes</w:t>
            </w:r>
            <w:r w:rsidR="005D6B7C">
              <w:t xml:space="preserve"> GIRFEC</w:t>
            </w:r>
            <w:r w:rsidR="00C00621">
              <w:t xml:space="preserve">. This </w:t>
            </w:r>
            <w:r>
              <w:t>has</w:t>
            </w:r>
            <w:r w:rsidR="00C00621">
              <w:t xml:space="preserve"> enable</w:t>
            </w:r>
            <w:r>
              <w:t>d the member of staff</w:t>
            </w:r>
            <w:r w:rsidR="00C00621">
              <w:t xml:space="preserve"> to </w:t>
            </w:r>
            <w:r>
              <w:t>engage in</w:t>
            </w:r>
            <w:r w:rsidR="00885DE6">
              <w:t xml:space="preserve"> workplace practice more </w:t>
            </w:r>
            <w:r w:rsidR="00C92BEA">
              <w:t>confidently and</w:t>
            </w:r>
            <w:r w:rsidR="00332FFE">
              <w:t xml:space="preserve"> embed it</w:t>
            </w:r>
            <w:r w:rsidR="00C1139F">
              <w:t xml:space="preserve"> in her practice allowing her to support her colleagues with greater purpose.</w:t>
            </w:r>
            <w:r w:rsidR="00A05390">
              <w:t xml:space="preserve"> </w:t>
            </w:r>
            <w:r w:rsidR="00AF6CC3">
              <w:lastRenderedPageBreak/>
              <w:t>As a result of her studies</w:t>
            </w:r>
            <w:r w:rsidR="00C92BEA">
              <w:t>,</w:t>
            </w:r>
            <w:r w:rsidR="00AF6CC3">
              <w:t xml:space="preserve"> the </w:t>
            </w:r>
            <w:r w:rsidR="00C92BEA">
              <w:t>member of staff</w:t>
            </w:r>
            <w:r w:rsidR="00A05390">
              <w:t xml:space="preserve"> will now be </w:t>
            </w:r>
            <w:r w:rsidR="00AF6CC3">
              <w:t>able</w:t>
            </w:r>
            <w:r w:rsidR="00A05390">
              <w:t xml:space="preserve"> to be</w:t>
            </w:r>
            <w:r w:rsidR="00AF6CC3">
              <w:t xml:space="preserve"> work with the</w:t>
            </w:r>
            <w:r w:rsidR="00C92BEA">
              <w:t xml:space="preserve"> children</w:t>
            </w:r>
            <w:r w:rsidR="00AF6CC3">
              <w:t xml:space="preserve"> in a more responsive and meaningful capactity. </w:t>
            </w:r>
          </w:p>
          <w:p w:rsidR="0015576D" w:rsidRPr="0015576D" w:rsidRDefault="0015576D" w:rsidP="00835025">
            <w:pPr>
              <w:jc w:val="both"/>
            </w:pPr>
            <w:r w:rsidRPr="0015576D">
              <w:t xml:space="preserve">An enhanced transition program </w:t>
            </w:r>
            <w:r w:rsidR="00332FFE">
              <w:t xml:space="preserve">was </w:t>
            </w:r>
            <w:r w:rsidRPr="0015576D">
              <w:t xml:space="preserve">created by </w:t>
            </w:r>
            <w:r w:rsidR="00332FFE">
              <w:t xml:space="preserve">an </w:t>
            </w:r>
            <w:r w:rsidRPr="0015576D">
              <w:t>ECE with an ASN specialist support</w:t>
            </w:r>
            <w:r w:rsidR="00332FFE">
              <w:t>,</w:t>
            </w:r>
            <w:r w:rsidR="00A07418">
              <w:t xml:space="preserve"> this resulted in a very comprehensive programme being produced to support children moving from nursery to primary one.</w:t>
            </w:r>
          </w:p>
          <w:p w:rsidR="0015576D" w:rsidRDefault="005F5D5C" w:rsidP="00835025">
            <w:pPr>
              <w:jc w:val="both"/>
            </w:pPr>
            <w:r>
              <w:t>Sta</w:t>
            </w:r>
            <w:r w:rsidR="00A07418">
              <w:t xml:space="preserve">ff </w:t>
            </w:r>
            <w:r>
              <w:t>now use the</w:t>
            </w:r>
            <w:r w:rsidR="00A07418">
              <w:t xml:space="preserve"> eight wellbeing </w:t>
            </w:r>
            <w:r w:rsidR="0015576D" w:rsidRPr="0015576D">
              <w:t xml:space="preserve">indicators to support </w:t>
            </w:r>
            <w:r w:rsidR="005D6B7C">
              <w:t>the</w:t>
            </w:r>
            <w:r w:rsidR="00A07418">
              <w:t>ir</w:t>
            </w:r>
            <w:r w:rsidR="005D6B7C">
              <w:t xml:space="preserve"> </w:t>
            </w:r>
            <w:r w:rsidR="0015576D" w:rsidRPr="0015576D">
              <w:t xml:space="preserve">planning of </w:t>
            </w:r>
            <w:r w:rsidR="00A07418">
              <w:t xml:space="preserve">children’s </w:t>
            </w:r>
            <w:r w:rsidR="0015576D" w:rsidRPr="0015576D">
              <w:t>learning experiences</w:t>
            </w:r>
            <w:r w:rsidR="00A07418">
              <w:t>. As a result of this every aspect of a child’s health and wellbeing is being looked after and supported ensuring that all children have access to the appropriate support for their individual needs</w:t>
            </w:r>
            <w:r w:rsidR="00332FFE">
              <w:t>.</w:t>
            </w:r>
          </w:p>
          <w:p w:rsidR="00BF5F37" w:rsidRPr="0015576D" w:rsidRDefault="00BF5F37" w:rsidP="00835025">
            <w:pPr>
              <w:jc w:val="both"/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Pr="00842363" w:rsidRDefault="00BF5F37" w:rsidP="00835025">
            <w:pPr>
              <w:jc w:val="both"/>
              <w:rPr>
                <w:color w:val="7030A0"/>
              </w:rPr>
            </w:pPr>
          </w:p>
          <w:p w:rsidR="00BF5F37" w:rsidRPr="00842363" w:rsidRDefault="00BF5F37" w:rsidP="00835025">
            <w:pPr>
              <w:jc w:val="both"/>
              <w:rPr>
                <w:color w:val="7030A0"/>
              </w:rPr>
            </w:pPr>
          </w:p>
          <w:p w:rsidR="00BF5F37" w:rsidRPr="00842363" w:rsidRDefault="00BF5F37" w:rsidP="00835025">
            <w:pPr>
              <w:jc w:val="both"/>
              <w:rPr>
                <w:color w:val="7030A0"/>
              </w:rPr>
            </w:pPr>
          </w:p>
        </w:tc>
      </w:tr>
      <w:tr w:rsidR="00BF5F37" w:rsidRPr="00842363" w:rsidTr="00442DAF">
        <w:tc>
          <w:tcPr>
            <w:tcW w:w="1550" w:type="dxa"/>
          </w:tcPr>
          <w:p w:rsidR="00BF5F37" w:rsidRPr="00842363" w:rsidRDefault="00BF5F37" w:rsidP="00835025">
            <w:pPr>
              <w:jc w:val="both"/>
              <w:rPr>
                <w:color w:val="7030A0"/>
              </w:rPr>
            </w:pPr>
            <w:r w:rsidRPr="00842363">
              <w:rPr>
                <w:color w:val="7030A0"/>
              </w:rPr>
              <w:lastRenderedPageBreak/>
              <w:t>Impact:</w:t>
            </w:r>
          </w:p>
        </w:tc>
        <w:tc>
          <w:tcPr>
            <w:tcW w:w="12332" w:type="dxa"/>
          </w:tcPr>
          <w:p w:rsidR="00BF5F37" w:rsidRPr="00D34020" w:rsidRDefault="00BF5F37" w:rsidP="00835025">
            <w:pPr>
              <w:jc w:val="both"/>
            </w:pPr>
          </w:p>
          <w:p w:rsidR="00575A0B" w:rsidRPr="006B1626" w:rsidRDefault="00575A0B" w:rsidP="00835025">
            <w:pPr>
              <w:jc w:val="both"/>
            </w:pPr>
            <w:r w:rsidRPr="006B1626">
              <w:t xml:space="preserve">All children benefit from the specialised training courses which staff have attended as it enables them to receive up to date professional and consistent care. </w:t>
            </w:r>
          </w:p>
          <w:p w:rsidR="006B1626" w:rsidRDefault="00575A0B" w:rsidP="00835025">
            <w:pPr>
              <w:jc w:val="both"/>
            </w:pPr>
            <w:r w:rsidRPr="006B1626">
              <w:t>Children in</w:t>
            </w:r>
            <w:r w:rsidR="006B1626" w:rsidRPr="006B1626">
              <w:t xml:space="preserve"> the nursery will benefit from having another member of staff working with them who has the appropriate qualifications to support and</w:t>
            </w:r>
            <w:r w:rsidR="006B1626">
              <w:t xml:space="preserve"> assist them as they develop and learn. </w:t>
            </w:r>
          </w:p>
          <w:p w:rsidR="00575A0B" w:rsidRPr="006B1626" w:rsidRDefault="00575A0B" w:rsidP="00835025">
            <w:pPr>
              <w:jc w:val="both"/>
            </w:pPr>
            <w:r w:rsidRPr="006B1626">
              <w:t>The enhanced transition program has enabled all pre-school children to discover what it will be like in Primary one therefore enabling them to have a smooth transition from nursery to their next stage.</w:t>
            </w:r>
          </w:p>
          <w:p w:rsidR="00BF5F37" w:rsidRPr="006B1626" w:rsidRDefault="00575A0B" w:rsidP="00835025">
            <w:pPr>
              <w:jc w:val="both"/>
            </w:pPr>
            <w:r w:rsidRPr="006B1626">
              <w:t>Using the wellbeing indicators as part of the planning process ensures that all c</w:t>
            </w:r>
            <w:r w:rsidR="00A07418" w:rsidRPr="006B1626">
              <w:t xml:space="preserve">hildren </w:t>
            </w:r>
            <w:r w:rsidRPr="006B1626">
              <w:t>are being supported whatever their individual needs maybe ensuring they each reach their best possible potential.</w:t>
            </w:r>
          </w:p>
          <w:p w:rsidR="00BF5F37" w:rsidRPr="006B1626" w:rsidRDefault="00BF5F37" w:rsidP="00835025">
            <w:pPr>
              <w:jc w:val="both"/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Pr="00842363" w:rsidRDefault="00BF5F37" w:rsidP="00835025">
            <w:pPr>
              <w:jc w:val="both"/>
              <w:rPr>
                <w:color w:val="7030A0"/>
              </w:rPr>
            </w:pPr>
          </w:p>
          <w:p w:rsidR="00BF5F37" w:rsidRPr="00842363" w:rsidRDefault="00BF5F37" w:rsidP="00835025">
            <w:pPr>
              <w:jc w:val="both"/>
              <w:rPr>
                <w:color w:val="7030A0"/>
              </w:rPr>
            </w:pPr>
          </w:p>
          <w:p w:rsidR="00BF5F37" w:rsidRPr="00842363" w:rsidRDefault="00BF5F37" w:rsidP="00835025">
            <w:pPr>
              <w:jc w:val="both"/>
              <w:rPr>
                <w:color w:val="7030A0"/>
              </w:rPr>
            </w:pPr>
          </w:p>
        </w:tc>
      </w:tr>
      <w:tr w:rsidR="00BF5F37" w:rsidRPr="00842363" w:rsidTr="00442DAF">
        <w:tc>
          <w:tcPr>
            <w:tcW w:w="1550" w:type="dxa"/>
          </w:tcPr>
          <w:p w:rsidR="00BF5F37" w:rsidRPr="00842363" w:rsidRDefault="00BF5F37" w:rsidP="00835025">
            <w:pPr>
              <w:jc w:val="both"/>
              <w:rPr>
                <w:color w:val="7030A0"/>
              </w:rPr>
            </w:pPr>
            <w:r w:rsidRPr="00842363">
              <w:rPr>
                <w:color w:val="7030A0"/>
              </w:rPr>
              <w:lastRenderedPageBreak/>
              <w:t>Next steps:</w:t>
            </w:r>
          </w:p>
        </w:tc>
        <w:tc>
          <w:tcPr>
            <w:tcW w:w="12332" w:type="dxa"/>
          </w:tcPr>
          <w:p w:rsidR="00BF5F37" w:rsidRPr="00D34020" w:rsidRDefault="00BF5F37" w:rsidP="00835025">
            <w:pPr>
              <w:jc w:val="both"/>
            </w:pPr>
          </w:p>
          <w:p w:rsidR="00BF5F37" w:rsidRDefault="006B1626" w:rsidP="005F5D5C">
            <w:pPr>
              <w:pStyle w:val="ListParagraph"/>
              <w:numPr>
                <w:ilvl w:val="0"/>
                <w:numId w:val="3"/>
              </w:numPr>
              <w:jc w:val="both"/>
            </w:pPr>
            <w:r w:rsidRPr="006B1626">
              <w:t>To ensure that all members of staff have the opportunity to update their knowledge of GIRFEC as and when required</w:t>
            </w:r>
            <w:r>
              <w:t>.</w:t>
            </w:r>
          </w:p>
          <w:p w:rsidR="005F5D5C" w:rsidRPr="006B1626" w:rsidRDefault="005F5D5C" w:rsidP="005F5D5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To ensure that all new members of staff have had GIRFEC training and if not, arrangements will be made for the member of staff to attend relevant training courses.</w:t>
            </w: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803B98" w:rsidP="00835025">
            <w:pPr>
              <w:jc w:val="both"/>
              <w:rPr>
                <w:color w:val="7030A0"/>
              </w:rPr>
            </w:pPr>
            <w:r w:rsidRPr="00803B98">
              <w:rPr>
                <w:color w:val="7030A0"/>
              </w:rPr>
              <w:t>Completed by Nursery Senior ECE S Pirie</w:t>
            </w:r>
            <w:r>
              <w:rPr>
                <w:color w:val="7030A0"/>
              </w:rPr>
              <w:t xml:space="preserve"> June 2017</w:t>
            </w:r>
            <w:bookmarkStart w:id="0" w:name="_GoBack"/>
            <w:bookmarkEnd w:id="0"/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Default="00BF5F37" w:rsidP="00835025">
            <w:pPr>
              <w:jc w:val="both"/>
              <w:rPr>
                <w:color w:val="7030A0"/>
              </w:rPr>
            </w:pPr>
          </w:p>
          <w:p w:rsidR="00BF5F37" w:rsidRPr="00842363" w:rsidRDefault="00BF5F37" w:rsidP="00835025">
            <w:pPr>
              <w:jc w:val="both"/>
              <w:rPr>
                <w:color w:val="7030A0"/>
              </w:rPr>
            </w:pPr>
          </w:p>
          <w:p w:rsidR="00BF5F37" w:rsidRPr="00842363" w:rsidRDefault="00BF5F37" w:rsidP="00835025">
            <w:pPr>
              <w:jc w:val="both"/>
              <w:rPr>
                <w:color w:val="7030A0"/>
              </w:rPr>
            </w:pPr>
          </w:p>
        </w:tc>
      </w:tr>
    </w:tbl>
    <w:p w:rsidR="007F6E68" w:rsidRDefault="007F6E68"/>
    <w:p w:rsidR="00E869EA" w:rsidRDefault="00E869EA" w:rsidP="00E869EA"/>
    <w:p w:rsidR="00E869EA" w:rsidRDefault="00E869EA" w:rsidP="00E869EA">
      <w:pPr>
        <w:rPr>
          <w:b/>
        </w:rPr>
      </w:pPr>
    </w:p>
    <w:p w:rsidR="00E869EA" w:rsidRDefault="00E869EA" w:rsidP="00E869EA"/>
    <w:p w:rsidR="00E869EA" w:rsidRDefault="00E869EA" w:rsidP="00E869EA"/>
    <w:p w:rsidR="00E869EA" w:rsidRDefault="00E869EA" w:rsidP="00E869EA"/>
    <w:p w:rsidR="00E869EA" w:rsidRDefault="00E869EA" w:rsidP="00E869EA"/>
    <w:p w:rsidR="00E869EA" w:rsidRDefault="00E869EA"/>
    <w:sectPr w:rsidR="00E869EA" w:rsidSect="00442D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1F38"/>
    <w:multiLevelType w:val="hybridMultilevel"/>
    <w:tmpl w:val="1AA21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D28CF"/>
    <w:multiLevelType w:val="hybridMultilevel"/>
    <w:tmpl w:val="A502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974A5"/>
    <w:multiLevelType w:val="hybridMultilevel"/>
    <w:tmpl w:val="3D3C9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37"/>
    <w:rsid w:val="0015576D"/>
    <w:rsid w:val="002A54E1"/>
    <w:rsid w:val="002F41EC"/>
    <w:rsid w:val="00332FFE"/>
    <w:rsid w:val="00442DAF"/>
    <w:rsid w:val="00464CFA"/>
    <w:rsid w:val="004E0DFE"/>
    <w:rsid w:val="004F51E4"/>
    <w:rsid w:val="0050395B"/>
    <w:rsid w:val="00575A0B"/>
    <w:rsid w:val="005D6B7C"/>
    <w:rsid w:val="005F5D5C"/>
    <w:rsid w:val="006542F0"/>
    <w:rsid w:val="006B1626"/>
    <w:rsid w:val="006F50CC"/>
    <w:rsid w:val="007D3343"/>
    <w:rsid w:val="007F6E68"/>
    <w:rsid w:val="00803B98"/>
    <w:rsid w:val="00885DE6"/>
    <w:rsid w:val="009A18DF"/>
    <w:rsid w:val="00A05390"/>
    <w:rsid w:val="00A07418"/>
    <w:rsid w:val="00AE1676"/>
    <w:rsid w:val="00AF6CC3"/>
    <w:rsid w:val="00BF5F37"/>
    <w:rsid w:val="00C00621"/>
    <w:rsid w:val="00C1139F"/>
    <w:rsid w:val="00C92BEA"/>
    <w:rsid w:val="00E869EA"/>
    <w:rsid w:val="00EA1328"/>
    <w:rsid w:val="00F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08A2-6C69-40B4-B8FD-840056FB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37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3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DAF"/>
    <w:pPr>
      <w:spacing w:after="16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42D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Cassidy</dc:creator>
  <cp:keywords/>
  <dc:description/>
  <cp:lastModifiedBy>Sharon Cassidy</cp:lastModifiedBy>
  <cp:revision>3</cp:revision>
  <cp:lastPrinted>2017-05-30T08:37:00Z</cp:lastPrinted>
  <dcterms:created xsi:type="dcterms:W3CDTF">2017-06-06T10:40:00Z</dcterms:created>
  <dcterms:modified xsi:type="dcterms:W3CDTF">2017-06-26T09:35:00Z</dcterms:modified>
</cp:coreProperties>
</file>